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4"/>
        <w:ind w:left="-114" w:right="-505" w:firstLine="11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ДОГОВОР ПОСТАВКИ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продукции производственно-технического назначения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4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854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_________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855"/>
        <w:tabs>
          <w:tab w:val="left" w:pos="694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Хабаровск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"___" _________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4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Акционерное общество «Дальневосточная генерирующая компания» (АО «ДГК»)</w:t>
      </w:r>
      <w:r>
        <w:rPr>
          <w:rFonts w:ascii="Times New Roman" w:hAnsi="Times New Roman"/>
          <w:sz w:val="24"/>
          <w:szCs w:val="24"/>
        </w:rPr>
        <w:t xml:space="preserve">, именуемое в дальнейшем Покупатель, в лице </w:t>
      </w:r>
      <w:r>
        <w:rPr>
          <w:rFonts w:ascii="Times New Roman" w:hAnsi="Times New Roman"/>
          <w:sz w:val="24"/>
          <w:szCs w:val="24"/>
        </w:rPr>
        <w:t xml:space="preserve">____________</w:t>
      </w:r>
      <w:r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 xml:space="preserve">_________________</w:t>
      </w:r>
      <w:r>
        <w:rPr>
          <w:rFonts w:ascii="Times New Roman" w:hAnsi="Times New Roman"/>
          <w:sz w:val="24"/>
          <w:szCs w:val="24"/>
        </w:rPr>
        <w:t xml:space="preserve">, с одной стороны,</w:t>
      </w:r>
      <w:r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87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</w:t>
      </w:r>
      <w:r>
        <w:rPr>
          <w:rFonts w:ascii="Times New Roman" w:hAnsi="Times New Roman"/>
          <w:sz w:val="24"/>
          <w:szCs w:val="24"/>
        </w:rPr>
        <w:t xml:space="preserve">, именуемое</w:t>
      </w:r>
      <w:r>
        <w:rPr>
          <w:rFonts w:ascii="Times New Roman" w:hAnsi="Times New Roman"/>
          <w:sz w:val="24"/>
          <w:szCs w:val="24"/>
        </w:rPr>
        <w:t xml:space="preserve"> в дальнейшем Поставщик, в лице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_______________</w:t>
      </w:r>
      <w:r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 xml:space="preserve">______________________________</w:t>
      </w:r>
      <w:r>
        <w:rPr>
          <w:rFonts w:ascii="Times New Roman" w:hAnsi="Times New Roman"/>
          <w:sz w:val="24"/>
          <w:szCs w:val="24"/>
        </w:rPr>
        <w:t xml:space="preserve">, с другой стороны, именуемые в дальнейшем Стороны, заключили настоящий Договор о нижеследующем</w:t>
      </w:r>
      <w:r>
        <w:rPr>
          <w:rFonts w:ascii="Times New Roman" w:hAnsi="Times New Roman"/>
          <w:sz w:val="24"/>
          <w:szCs w:val="24"/>
        </w:rPr>
        <w:t xml:space="preserve">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5"/>
        <w:jc w:val="both"/>
        <w:tabs>
          <w:tab w:val="left" w:pos="11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Предмет договора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В соответствии с настоящим Договором и со Спецификаци</w:t>
      </w:r>
      <w:r>
        <w:rPr>
          <w:rFonts w:ascii="Times New Roman" w:hAnsi="Times New Roman" w:cs="Times New Roman"/>
        </w:rPr>
        <w:t xml:space="preserve">ей</w:t>
      </w:r>
      <w:r>
        <w:rPr>
          <w:rFonts w:ascii="Times New Roman" w:hAnsi="Times New Roman" w:cs="Times New Roman"/>
        </w:rPr>
        <w:t xml:space="preserve"> №1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(Приложени</w:t>
      </w:r>
      <w:r>
        <w:rPr>
          <w:rFonts w:ascii="Times New Roman" w:hAnsi="Times New Roman" w:cs="Times New Roman"/>
        </w:rPr>
        <w:t xml:space="preserve">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№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 настоящему Договору) Поставщик обязуется передать Покупателю </w:t>
      </w:r>
      <w:r>
        <w:rPr>
          <w:rFonts w:ascii="Times New Roman" w:hAnsi="Times New Roman" w:cs="Times New Roman"/>
        </w:rPr>
        <w:t xml:space="preserve">автомобиль с краном-манипулятором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(далее - продукция), а Покупатель </w:t>
      </w:r>
      <w:r>
        <w:rPr>
          <w:rFonts w:ascii="Times New Roman" w:hAnsi="Times New Roman" w:cs="Times New Roman"/>
        </w:rPr>
        <w:t xml:space="preserve">обязуется </w:t>
      </w:r>
      <w:r>
        <w:rPr>
          <w:rFonts w:ascii="Times New Roman" w:hAnsi="Times New Roman" w:cs="Times New Roman"/>
        </w:rPr>
        <w:t xml:space="preserve">принять и оплатить продукцию.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Сумма</w:t>
      </w:r>
      <w:r>
        <w:rPr>
          <w:rFonts w:ascii="Times New Roman" w:hAnsi="Times New Roman" w:cs="Times New Roman"/>
          <w:b/>
          <w:bCs/>
        </w:rPr>
        <w:t xml:space="preserve"> договора и порядок расчетов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2.1. </w:t>
      </w:r>
      <w:r>
        <w:rPr>
          <w:rFonts w:ascii="Times New Roman" w:hAnsi="Times New Roman" w:cs="Times New Roman"/>
        </w:rPr>
        <w:t xml:space="preserve">Продукция оплачивается Покупателем по цен</w:t>
      </w:r>
      <w:r>
        <w:rPr>
          <w:rFonts w:ascii="Times New Roman" w:hAnsi="Times New Roman" w:cs="Times New Roman"/>
        </w:rPr>
        <w:t xml:space="preserve">ам</w:t>
      </w:r>
      <w:r>
        <w:rPr>
          <w:rFonts w:ascii="Times New Roman" w:hAnsi="Times New Roman" w:cs="Times New Roman"/>
        </w:rPr>
        <w:t xml:space="preserve">, отраженн</w:t>
      </w:r>
      <w:r>
        <w:rPr>
          <w:rFonts w:ascii="Times New Roman" w:hAnsi="Times New Roman" w:cs="Times New Roman"/>
        </w:rPr>
        <w:t xml:space="preserve">ым</w:t>
      </w:r>
      <w:r>
        <w:rPr>
          <w:rFonts w:ascii="Times New Roman" w:hAnsi="Times New Roman" w:cs="Times New Roman"/>
        </w:rPr>
        <w:t xml:space="preserve"> в Спецификаци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 №1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(Приложение №1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 настоящему договору)</w:t>
      </w:r>
      <w:r>
        <w:rPr>
          <w:rFonts w:ascii="Times New Roman" w:hAnsi="Times New Roman" w:cs="Times New Roman"/>
        </w:rPr>
        <w:t xml:space="preserve"> на основании выставленн</w:t>
      </w:r>
      <w:r>
        <w:rPr>
          <w:rFonts w:ascii="Times New Roman" w:hAnsi="Times New Roman" w:cs="Times New Roman"/>
        </w:rPr>
        <w:t xml:space="preserve">ого</w:t>
      </w:r>
      <w:r>
        <w:rPr>
          <w:rFonts w:ascii="Times New Roman" w:hAnsi="Times New Roman" w:cs="Times New Roman"/>
        </w:rPr>
        <w:t xml:space="preserve"> универсального передаточного документа (далее - </w:t>
      </w:r>
      <w:r>
        <w:rPr>
          <w:rFonts w:ascii="Times New Roman" w:hAnsi="Times New Roman" w:cs="Times New Roman"/>
        </w:rPr>
        <w:t xml:space="preserve">УПД)</w:t>
      </w:r>
      <w:r>
        <w:rPr>
          <w:rFonts w:ascii="Times New Roman" w:hAnsi="Times New Roman" w:cs="Times New Roman"/>
        </w:rPr>
        <w:t xml:space="preserve">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за отгруженную продукцию.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 xml:space="preserve">Сумма</w:t>
      </w:r>
      <w:r>
        <w:rPr>
          <w:rFonts w:ascii="Times New Roman" w:hAnsi="Times New Roman" w:cs="Times New Roman"/>
          <w:sz w:val="24"/>
          <w:szCs w:val="24"/>
        </w:rPr>
        <w:t xml:space="preserve"> настоящего Договора составляет ____________ (____________________ рублей __ копеек), в том числе НДС (22%) _____________ (______________ рублей __ копеек).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2.3. </w:t>
      </w:r>
      <w:r>
        <w:rPr>
          <w:rFonts w:ascii="Times New Roman" w:hAnsi="Times New Roman" w:cs="Times New Roman"/>
        </w:rPr>
        <w:t xml:space="preserve">Порядок оплаты продукции: в размере 100% стоимости поставленной продукции производится по факту поставки продукции в течение </w:t>
      </w:r>
      <w:r>
        <w:rPr>
          <w:rFonts w:ascii="Times New Roman" w:hAnsi="Times New Roman" w:cs="Times New Roman"/>
        </w:rPr>
        <w:t xml:space="preserve">7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 xml:space="preserve">сем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рабочих</w:t>
      </w:r>
      <w:r>
        <w:rPr>
          <w:rFonts w:ascii="Times New Roman" w:hAnsi="Times New Roman" w:cs="Times New Roman"/>
        </w:rPr>
        <w:t xml:space="preserve"> дней с даты подписания Покупателем (грузополучателем) </w:t>
      </w:r>
      <w:r>
        <w:rPr>
          <w:rFonts w:ascii="Times New Roman" w:hAnsi="Times New Roman" w:cs="Times New Roman"/>
        </w:rPr>
        <w:t xml:space="preserve">УПД при наличии </w:t>
      </w:r>
      <w:r>
        <w:rPr>
          <w:rFonts w:ascii="Times New Roman" w:hAnsi="Times New Roman" w:cs="Times New Roman"/>
        </w:rPr>
        <w:t xml:space="preserve">акта входного контроля.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</w:rPr>
        <w:t xml:space="preserve">Покупатель вправе произвести сальдо взаимных обязательств сторон путем уменьшения сумм причитающихся По</w:t>
      </w:r>
      <w:r>
        <w:rPr>
          <w:rFonts w:ascii="Times New Roman" w:hAnsi="Times New Roman" w:cs="Times New Roman"/>
        </w:rPr>
        <w:t xml:space="preserve">ставщику платежей по Договору, а также по взаимосвязанным договорам (цепочке договоров), в рамках единого комплекса хозяйственных взаимоотношений сторон, направленных на исполнение Договора, на суммы задолженности Поставщика перед Покупателем, в том числе </w:t>
      </w:r>
      <w:r>
        <w:rPr>
          <w:rFonts w:ascii="Times New Roman" w:hAnsi="Times New Roman" w:cs="Times New Roman"/>
        </w:rPr>
        <w:t xml:space="preserve">(включая, но не ограничиваясь), суммы 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работ по устранению недостатков поставленного Поставщиком продукции.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2.4. </w:t>
      </w:r>
      <w:r>
        <w:rPr>
          <w:rFonts w:ascii="Times New Roman" w:hAnsi="Times New Roman" w:cs="Times New Roman"/>
        </w:rPr>
        <w:t xml:space="preserve">Цена за единицу продукции фиксируется в соответствии с условиями проведенной конкурентной процедуры и не подлежит изменению Поставщиком в одностороннем порядке до полного исполнения договора</w:t>
      </w:r>
      <w:r>
        <w:rPr>
          <w:rFonts w:ascii="Times New Roman" w:hAnsi="Times New Roman" w:cs="Times New Roman"/>
          <w:color w:val="000000"/>
        </w:rPr>
        <w:t xml:space="preserve">. 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2.5 Индексация цены Договора не предусм</w:t>
      </w:r>
      <w:r>
        <w:rPr>
          <w:rFonts w:ascii="Times New Roman" w:hAnsi="Times New Roman" w:cs="Times New Roman"/>
          <w:color w:val="000000"/>
        </w:rPr>
        <w:t xml:space="preserve">отрена.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2.6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Расчеты по Договор</w:t>
      </w:r>
      <w:r>
        <w:rPr>
          <w:rFonts w:ascii="Times New Roman" w:hAnsi="Times New Roman" w:cs="Times New Roman"/>
        </w:rPr>
        <w:t xml:space="preserve">у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осуществляются </w:t>
      </w:r>
      <w:r>
        <w:rPr>
          <w:rFonts w:ascii="Times New Roman" w:hAnsi="Times New Roman" w:cs="Times New Roman"/>
        </w:rPr>
        <w:t xml:space="preserve">в валюте Российской Федерации.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2.7</w:t>
      </w:r>
      <w:r>
        <w:rPr>
          <w:rFonts w:ascii="Times New Roman" w:hAnsi="Times New Roman" w:cs="Times New Roman"/>
        </w:rPr>
        <w:t xml:space="preserve">. Оплата производится путем перечисления денежных средств на расчетный счет </w:t>
      </w:r>
      <w:r>
        <w:rPr>
          <w:rFonts w:ascii="Times New Roman" w:hAnsi="Times New Roman" w:cs="Times New Roman"/>
        </w:rPr>
        <w:t xml:space="preserve">Поставщика</w:t>
      </w:r>
      <w:r>
        <w:rPr>
          <w:rFonts w:ascii="Times New Roman" w:hAnsi="Times New Roman" w:cs="Times New Roman"/>
        </w:rPr>
        <w:t xml:space="preserve">, указанный в Договоре.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2.8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Обязательства по оплате </w:t>
      </w:r>
      <w:r>
        <w:rPr>
          <w:rFonts w:ascii="Times New Roman" w:hAnsi="Times New Roman" w:cs="Times New Roman"/>
        </w:rPr>
        <w:t xml:space="preserve">продукции</w:t>
      </w:r>
      <w:r>
        <w:rPr>
          <w:rFonts w:ascii="Times New Roman" w:hAnsi="Times New Roman" w:cs="Times New Roman"/>
        </w:rPr>
        <w:t xml:space="preserve"> считаются выполненными с даты списания денежных средств с расчетного счета </w:t>
      </w:r>
      <w:r>
        <w:rPr>
          <w:rFonts w:ascii="Times New Roman" w:hAnsi="Times New Roman" w:cs="Times New Roman"/>
        </w:rPr>
        <w:t xml:space="preserve">Покупателя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</w:t>
      </w:r>
      <w:r>
        <w:rPr>
          <w:rFonts w:ascii="Times New Roman" w:hAnsi="Times New Roman" w:cs="Times New Roman"/>
        </w:rPr>
        <w:t xml:space="preserve">9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Стоимость </w:t>
      </w:r>
      <w:r>
        <w:rPr>
          <w:rFonts w:ascii="Times New Roman" w:hAnsi="Times New Roman" w:cs="Times New Roman"/>
        </w:rPr>
        <w:t xml:space="preserve">тары, упаковки, маркировки и транспортных расходов </w:t>
      </w:r>
      <w:r>
        <w:rPr>
          <w:rFonts w:ascii="Times New Roman" w:hAnsi="Times New Roman" w:cs="Times New Roman"/>
        </w:rPr>
        <w:t xml:space="preserve">до склада </w:t>
      </w:r>
      <w:r>
        <w:rPr>
          <w:rFonts w:ascii="Times New Roman" w:hAnsi="Times New Roman" w:cs="Times New Roman"/>
        </w:rPr>
        <w:t xml:space="preserve">Покупателя (</w:t>
      </w:r>
      <w:r>
        <w:rPr>
          <w:rFonts w:ascii="Times New Roman" w:hAnsi="Times New Roman" w:cs="Times New Roman"/>
        </w:rPr>
        <w:t xml:space="preserve">грузополучателя</w:t>
      </w:r>
      <w:r>
        <w:rPr>
          <w:rFonts w:ascii="Times New Roman" w:hAnsi="Times New Roman" w:cs="Times New Roman"/>
        </w:rPr>
        <w:t xml:space="preserve">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включен</w:t>
      </w:r>
      <w:r>
        <w:rPr>
          <w:rFonts w:ascii="Times New Roman" w:hAnsi="Times New Roman" w:cs="Times New Roman"/>
        </w:rPr>
        <w:t xml:space="preserve">ы</w:t>
      </w:r>
      <w:r>
        <w:rPr>
          <w:rFonts w:ascii="Times New Roman" w:hAnsi="Times New Roman" w:cs="Times New Roman"/>
        </w:rPr>
        <w:t xml:space="preserve"> в стоимость продукции</w:t>
      </w:r>
      <w:r>
        <w:rPr>
          <w:rFonts w:ascii="Times New Roman" w:hAnsi="Times New Roman" w:cs="Times New Roman"/>
        </w:rPr>
        <w:t xml:space="preserve"> по настоящему </w:t>
      </w:r>
      <w:r>
        <w:rPr>
          <w:rFonts w:ascii="Times New Roman" w:hAnsi="Times New Roman" w:cs="Times New Roman"/>
        </w:rPr>
        <w:t xml:space="preserve">Д</w:t>
      </w:r>
      <w:r>
        <w:rPr>
          <w:rFonts w:ascii="Times New Roman" w:hAnsi="Times New Roman" w:cs="Times New Roman"/>
        </w:rPr>
        <w:t xml:space="preserve">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Условия и сроки поставки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Поставка продукции производится в соответствии со Спецификацией (Приложение №1 к договору), отгрузочные реквизиты указаны в спецификации. Поставщик обеспечивает доставку продукции до места поставки.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 Поставщик обязуется поставить Покупателю продукцию в течение </w:t>
      </w:r>
      <w:r>
        <w:rPr>
          <w:rFonts w:ascii="Times New Roman" w:hAnsi="Times New Roman" w:cs="Times New Roman"/>
        </w:rPr>
        <w:t xml:space="preserve">45 (сорок пять) рабочих дней</w:t>
      </w:r>
      <w:r>
        <w:rPr>
          <w:rFonts w:ascii="Times New Roman" w:hAnsi="Times New Roman" w:cs="Times New Roman"/>
        </w:rPr>
        <w:t xml:space="preserve"> с даты </w:t>
      </w:r>
      <w:r>
        <w:rPr>
          <w:rFonts w:ascii="Times New Roman" w:hAnsi="Times New Roman" w:cs="Times New Roman"/>
        </w:rPr>
        <w:t xml:space="preserve">подписания </w:t>
      </w:r>
      <w:r>
        <w:rPr>
          <w:rFonts w:ascii="Times New Roman" w:hAnsi="Times New Roman" w:cs="Times New Roman"/>
        </w:rPr>
        <w:t xml:space="preserve">Д</w:t>
      </w:r>
      <w:r>
        <w:rPr>
          <w:rFonts w:ascii="Times New Roman" w:hAnsi="Times New Roman" w:cs="Times New Roman"/>
        </w:rPr>
        <w:t xml:space="preserve">оговора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 </w:t>
      </w:r>
      <w:r>
        <w:rPr>
          <w:rFonts w:ascii="Times New Roman" w:hAnsi="Times New Roman" w:cs="Times New Roman"/>
        </w:rPr>
        <w:t xml:space="preserve">Поставщик обязан передать Покупателю с </w:t>
      </w:r>
      <w:r>
        <w:rPr>
          <w:rFonts w:ascii="Times New Roman" w:hAnsi="Times New Roman" w:cs="Times New Roman"/>
        </w:rPr>
        <w:t xml:space="preserve">Продукцией </w:t>
      </w:r>
      <w:r>
        <w:rPr>
          <w:rFonts w:ascii="Times New Roman" w:hAnsi="Times New Roman" w:cs="Times New Roman"/>
        </w:rPr>
        <w:t xml:space="preserve">оригиналы следующих документов: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</w:rPr>
        <w:tab/>
        <w:t xml:space="preserve">паспорт (ЭПСМ) на русском языке в 1 (один) экз. (в электронном виде);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инструкция по эксплуатации на русском языке в 1 (один) экз. н;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сертификат соответствия Техническому Регламенту Таможенного Союза 010/2011 «О безопасности машин и оборудования/ТР ТС 018/2011 «О безопасности колесных транспортных средств/Одобрение типа транспортного средства»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55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3.4. Приемка и оценка качества продукции осуществляется в полном соответствии с ГОСТ (ТУ) и обязательными требованиями, предъявляемыми к качеству поставляемой продукции. С продукцией поставляется паспорт, гарантийный тал</w:t>
      </w:r>
      <w:r>
        <w:rPr>
          <w:rFonts w:ascii="Times New Roman" w:hAnsi="Times New Roman" w:cs="Times New Roman"/>
          <w:sz w:val="24"/>
          <w:szCs w:val="24"/>
        </w:rPr>
        <w:t xml:space="preserve">он, техническая и эксплуатационная документация на русском языке, копии соответствующих сертификатов или деклараций на поставляемую продукцию. В случае отсутствия этих документов Покупатель вправе остановить приемку продукции, до момента их предоставления.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Продукция должна быть новой не ранее 2025 года и ранее не использованной. Продукция должна быть исправна и при обычных условиях ее использовани</w:t>
      </w:r>
      <w:r>
        <w:rPr>
          <w:rFonts w:ascii="Times New Roman" w:hAnsi="Times New Roman" w:cs="Times New Roman"/>
          <w:sz w:val="24"/>
          <w:szCs w:val="24"/>
        </w:rPr>
        <w:t xml:space="preserve">я, хранения, транспортировки и утилизации должна быть безопасна для жизни и здоровья и соответствовать требованиям безопасности согласно </w:t>
      </w:r>
      <w:r>
        <w:rPr>
          <w:rFonts w:ascii="Times New Roman" w:hAnsi="Times New Roman" w:cs="Times New Roman"/>
          <w:sz w:val="24"/>
          <w:szCs w:val="24"/>
        </w:rPr>
        <w:t xml:space="preserve">сертификат соответствия Техническому Регламенту Таможенного Союза 010/2011 «О безопасности машин и оборудования/ТР ТС 018/2011 «О безопасности колесных транспортных средств/Одобрение типа транспортного средства»</w:t>
      </w:r>
      <w:r>
        <w:rPr>
          <w:rFonts w:ascii="Times New Roman" w:hAnsi="Times New Roman" w:cs="Times New Roman"/>
          <w:sz w:val="24"/>
          <w:szCs w:val="24"/>
        </w:rPr>
        <w:t xml:space="preserve">, а также не причинять вред имуществу покупателя и/или третьих лиц.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 В случае поставки продукции, не обусловленной настоящим Договором, либо поставки продукции по цене, превышающей согласованную Сторонами, Покупатель вправе отказаться </w:t>
      </w:r>
      <w:r>
        <w:rPr>
          <w:rFonts w:ascii="Times New Roman" w:hAnsi="Times New Roman" w:cs="Times New Roman"/>
          <w:sz w:val="24"/>
          <w:szCs w:val="24"/>
        </w:rPr>
        <w:t xml:space="preserve">от поставленной продукции, приняв её на ответственное хранение и незамедлительно уведомить Поставщика о несоответствии для принятия мер по распоряжению продукцией. Все затраты, связанные с хранением или отправкой (продажей) продукции, возмещает Поставщик.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Обязательства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 Поставщик обязуется: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4.1.1. Поставить продукцию в соответствии с условиями настоящего Договора.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4.1.2. Известить Покупателя (грузополучателя) в письменной форме не позднее чем за 3 рабочих дня до поставки продукции, о планируемой дате поставки продукции. Адрес электронной почты для направления уведомлений: </w:t>
      </w:r>
      <w:r>
        <w:rPr>
          <w:rFonts w:ascii="Times New Roman" w:hAnsi="Times New Roman" w:cs="Times New Roman"/>
          <w:lang w:val="en-US"/>
        </w:rPr>
        <w:t xml:space="preserve">zyuzin</w:t>
      </w: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  <w:lang w:val="en-US"/>
        </w:rPr>
        <w:t xml:space="preserve">ss</w:t>
      </w:r>
      <w:r>
        <w:rPr>
          <w:rFonts w:ascii="Times New Roman" w:hAnsi="Times New Roman" w:cs="Times New Roman"/>
        </w:rPr>
        <w:t xml:space="preserve">@</w:t>
      </w:r>
      <w:r>
        <w:rPr>
          <w:rFonts w:ascii="Times New Roman" w:hAnsi="Times New Roman" w:cs="Times New Roman"/>
          <w:lang w:val="en-US"/>
        </w:rPr>
        <w:t xml:space="preserve">dgk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  <w:lang w:val="en-US"/>
        </w:rPr>
        <w:t xml:space="preserve">ru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4.1.3. Передать Покупателю продукцию, которая должна соответствовать требованиям, предусмотренным п. 3.4-3.5 настоящего Договора в момент передачи Покупателю, и иметь гарантийный срок не менее </w:t>
      </w:r>
      <w:r>
        <w:rPr>
          <w:rFonts w:ascii="Times New Roman" w:hAnsi="Times New Roman" w:cs="Times New Roman"/>
        </w:rPr>
        <w:t xml:space="preserve">24 месяцев или 100 000 км пробега (на автомобиль), </w:t>
      </w:r>
      <w:r>
        <w:rPr>
          <w:rFonts w:ascii="Times New Roman" w:hAnsi="Times New Roman" w:cs="Times New Roman"/>
        </w:rPr>
        <w:t xml:space="preserve">в зависимости от того что наступит</w:t>
      </w:r>
      <w:r>
        <w:rPr>
          <w:rFonts w:ascii="Times New Roman" w:hAnsi="Times New Roman" w:cs="Times New Roman"/>
        </w:rPr>
        <w:t xml:space="preserve"> ранее, </w:t>
      </w:r>
      <w:r>
        <w:rPr>
          <w:rFonts w:ascii="Times New Roman" w:hAnsi="Times New Roman" w:cs="Times New Roman"/>
        </w:rPr>
        <w:t xml:space="preserve"> с даты подписания Покупателем (грузополучателем) </w:t>
      </w:r>
      <w:r>
        <w:rPr>
          <w:rFonts w:ascii="Times New Roman" w:hAnsi="Times New Roman" w:cs="Times New Roman"/>
        </w:rPr>
        <w:t xml:space="preserve">УПД</w:t>
      </w:r>
      <w:r>
        <w:rPr>
          <w:rFonts w:ascii="Times New Roman" w:hAnsi="Times New Roman" w:cs="Times New Roman"/>
        </w:rPr>
        <w:t xml:space="preserve"> при наличии акта входного контроля.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Соблюдая требования сервисной книжки завода производителя, не менее  36 месяцев с момента подписания покупателем  УПД и акта входного контроля</w:t>
      </w:r>
      <w:r>
        <w:rPr>
          <w:rFonts w:ascii="Times New Roman" w:hAnsi="Times New Roman" w:cs="Times New Roman"/>
        </w:rPr>
        <w:t xml:space="preserve"> на КМУ, люльку.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4.1.4. Вывезти некачественную продукцию и заменить ее. Все необходимые расходы по замене и доставке продукции несет Поставщик. Гарантия распространяется на всю поставляемую продукцию.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4.1.5. Устра</w:t>
      </w:r>
      <w:r>
        <w:rPr>
          <w:rFonts w:ascii="Times New Roman" w:hAnsi="Times New Roman" w:cs="Times New Roman"/>
        </w:rPr>
        <w:t xml:space="preserve">нять дефекты (неисправности, недостатки, поломки), выявленные в продукции, или заменить продукцию, если не докажет, что дефекты возникли в результате нарушения Покупателем правил эксплуатации продукции или условий её хранения в течение гарантийного срока.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4.1.6. Предоставить Покупателю УПД, выставленный в сроки и офор</w:t>
      </w:r>
      <w:r>
        <w:rPr>
          <w:rFonts w:ascii="Times New Roman" w:hAnsi="Times New Roman" w:cs="Times New Roman"/>
        </w:rPr>
        <w:t xml:space="preserve">мленный в порядке, установленном законодательством Российской Федерации. В случае нарушения Поставщиком данного требования он обязан произвести замену УПД в течение 3 рабочих дней с даты получения соответствующего требования Покупателя.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4.1.7. В случае каких-либо изменений в цепочке собственников, включая бенефициаров, и (или) исполнительных органах Поставщика, Поставщик обязан предоставить соответствующую информацию не позднее 5 (пяти) календарных дней после таких изменений.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Покупатель обязуется принять и оплатить продукцию в соответствии с условиями настоящего Договора.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rPr>
          <w:highlight w:val="none"/>
        </w:rPr>
      </w:pPr>
      <w:r>
        <w:rPr>
          <w:szCs w:val="24"/>
        </w:rPr>
        <w:t xml:space="preserve">4.3.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оставщик не вправе произвести замену страны происхождения продукции, за исключением случая, когда в результате такой замены вместо иностранной продукции постав</w:t>
      </w:r>
      <w:r>
        <w:rPr>
          <w:sz w:val="24"/>
          <w:szCs w:val="24"/>
        </w:rPr>
        <w:t xml:space="preserve">ляется российская продукция, при этом качество, технические и функциональные характеристики (потр</w:t>
      </w:r>
      <w:r>
        <w:rPr>
          <w:sz w:val="24"/>
          <w:szCs w:val="24"/>
        </w:rPr>
        <w:t xml:space="preserve">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</w:t>
      </w:r>
      <w:r>
        <w:rPr>
          <w:szCs w:val="24"/>
        </w:rPr>
        <w:t xml:space="preserve">/</w:t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jc w:val="both"/>
      </w:pPr>
      <w:r>
        <w:rPr>
          <w:szCs w:val="24"/>
          <w:highlight w:val="none"/>
        </w:rPr>
        <w:t xml:space="preserve">4.3.1 </w:t>
      </w:r>
      <w:r>
        <w:rPr>
          <w:szCs w:val="24"/>
          <w:highlight w:val="none"/>
        </w:rPr>
        <w:t xml:space="preserve">Сто</w:t>
      </w:r>
      <w:r>
        <w:rPr>
          <w:szCs w:val="24"/>
          <w:highlight w:val="none"/>
        </w:rPr>
        <w:t xml:space="preserve">роны обязуются руководствоваться Постановлением Правительства РФ от 23.12.2024 N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</w:t>
      </w:r>
      <w:r>
        <w:rPr>
          <w:szCs w:val="24"/>
          <w:highlight w:val="none"/>
        </w:rPr>
        <w:t xml:space="preserve">от, услуг отдельными видами юридических лиц".</w:t>
      </w:r>
      <w:r>
        <w:rPr>
          <w:szCs w:val="24"/>
          <w:highlight w:val="none"/>
        </w:rPr>
        <w:t xml:space="preserve"> </w:t>
      </w:r>
      <w:r>
        <w:rPr>
          <w:szCs w:val="24"/>
          <w:highlight w:val="none"/>
        </w:rPr>
        <w:t xml:space="preserve">Установлен режим ограничения закупки иностранной продукции (когда национальный режим  предоставляется)</w:t>
      </w:r>
      <w:r>
        <w:rPr>
          <w:szCs w:val="24"/>
          <w:highlight w:val="none"/>
        </w:rPr>
        <w:t xml:space="preserve">.</w:t>
      </w:r>
      <w:r>
        <w:rPr>
          <w:szCs w:val="24"/>
          <w:highlight w:val="none"/>
        </w:rPr>
      </w:r>
      <w:r/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4.4</w:t>
      </w:r>
      <w:r>
        <w:rPr>
          <w:szCs w:val="24"/>
        </w:rPr>
        <w:t xml:space="preserve">. Обеспечение исполнения обязательств по договору, внесенное Поставщиком в течение 10 (десяти) календарных дней после официальной публикации протокола по выбору победителя в Единой информационной системе в сфере закупок (www.zakupki.gov.ru), в размере </w:t>
      </w:r>
      <w:r>
        <w:rPr>
          <w:szCs w:val="24"/>
        </w:rPr>
        <w:t xml:space="preserve">5% (пять) от суммы договора</w:t>
      </w:r>
      <w:r>
        <w:rPr>
          <w:szCs w:val="24"/>
        </w:rPr>
        <w:t xml:space="preserve"> (пункт 2.2</w:t>
      </w:r>
      <w:r>
        <w:rPr>
          <w:szCs w:val="24"/>
        </w:rPr>
        <w:t xml:space="preserve"> Договора</w:t>
      </w:r>
      <w:r>
        <w:rPr>
          <w:szCs w:val="24"/>
        </w:rPr>
        <w:t xml:space="preserve">)</w:t>
      </w:r>
      <w:r>
        <w:rPr>
          <w:szCs w:val="24"/>
        </w:rPr>
        <w:t xml:space="preserve"> </w:t>
      </w:r>
      <w:r>
        <w:rPr>
          <w:szCs w:val="24"/>
        </w:rPr>
        <w:t xml:space="preserve">(НДС не облагается) на расчетный счет </w:t>
      </w:r>
      <w:r>
        <w:rPr>
          <w:szCs w:val="24"/>
        </w:rPr>
        <w:t xml:space="preserve">Покупателя</w:t>
      </w:r>
      <w:r>
        <w:rPr>
          <w:szCs w:val="24"/>
        </w:rPr>
        <w:t xml:space="preserve"> 407 028 102 700 000 088 18, ДАЛЬНЕВОСТОЧНЫЙ БАНК ПАО СБЕРБАНК, БИК 040813608, Кор. счет 301 018 106 000 000 006 08, подлежит возврату Поставщику в течение 70 (семьдесят) календарных дней с даты полного испо</w:t>
      </w:r>
      <w:r>
        <w:rPr>
          <w:szCs w:val="24"/>
        </w:rPr>
        <w:t xml:space="preserve">лнения обязательств по заключенному Договору со стороны Поставщика, включая обязательства по оплате неустойки (пеней, штрафов) установленных Договором и возмещения причинённых убытков в связи с ненадлежащим исполнением Поставщиком обязательств по Договору.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В случае неисполнения Поставщиком обязательств по поставке продукции надлежащего качества, в объеме и в сроки, указанные в Договоре, Покупатель вправе удержать из обеспечительного платежа сумму начисленной Поставщику н</w:t>
      </w:r>
      <w:r>
        <w:rPr>
          <w:szCs w:val="24"/>
        </w:rPr>
        <w:t xml:space="preserve">еустойки (пеней и штрафов), установленных Договором, а также сумму понесенных убытков в связи с ненадлежащим исполнением обязательств по договору Поставщиком после выставленной в адрес Поставщика претензии и не оплаченной в установленный в претензии срок.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В том случае, если сумма неустойки (пеней и штрафов) установленных Договором и (или) сумма убытков в связи с нена</w:t>
      </w:r>
      <w:r>
        <w:rPr>
          <w:szCs w:val="24"/>
        </w:rPr>
        <w:t xml:space="preserve">длежащим исполнением Поставщиком обязательств по договору не покрывается в полном объеме суммой обеспечительного платежа, то Поставщик обязан оплатить на р/счет Покупателя разницу, в течении 10-ти дней с момента получения претензии с требованием об оплате.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На сумму обеспечительного платежа проценты, установленные статьями 317.1, 395 и 823 ГК РФ не начисляются и не подлежат уплате.</w:t>
      </w:r>
      <w:r>
        <w:rPr>
          <w:szCs w:val="24"/>
        </w:rPr>
      </w:r>
      <w:r>
        <w:rPr>
          <w:szCs w:val="24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В случае выбора Поставщиком обеспечения исполнения обязательств по Договору в виде </w:t>
      </w:r>
      <w:r>
        <w:rPr>
          <w:rFonts w:ascii="Times New Roman" w:hAnsi="Times New Roman" w:cs="Times New Roman"/>
          <w:i/>
        </w:rPr>
        <w:t xml:space="preserve">независимой</w:t>
      </w:r>
      <w:r>
        <w:rPr>
          <w:rFonts w:ascii="Times New Roman" w:hAnsi="Times New Roman" w:cs="Times New Roman"/>
          <w:i/>
        </w:rPr>
        <w:t xml:space="preserve"> гарантии, Поставщик обязуется предоставить Покупателю </w:t>
      </w:r>
      <w:r>
        <w:rPr>
          <w:rFonts w:ascii="Times New Roman" w:hAnsi="Times New Roman" w:cs="Times New Roman"/>
          <w:i/>
        </w:rPr>
        <w:t xml:space="preserve">независимую</w:t>
      </w:r>
      <w:r>
        <w:rPr>
          <w:rFonts w:ascii="Times New Roman" w:hAnsi="Times New Roman" w:cs="Times New Roman"/>
          <w:i/>
        </w:rPr>
        <w:t xml:space="preserve"> гарантию надлежащего исполнения обязательств по Договору в срок</w:t>
      </w:r>
      <w:r>
        <w:rPr>
          <w:rFonts w:ascii="Times New Roman" w:hAnsi="Times New Roman" w:cs="Times New Roman"/>
          <w:i/>
        </w:rPr>
        <w:t xml:space="preserve">,</w:t>
      </w:r>
      <w:r>
        <w:rPr>
          <w:rFonts w:ascii="Times New Roman" w:hAnsi="Times New Roman" w:cs="Times New Roman"/>
          <w:i/>
        </w:rPr>
        <w:t xml:space="preserve"> установленный Документацией о закупке, отвечающую требова</w:t>
      </w:r>
      <w:r>
        <w:rPr>
          <w:rFonts w:ascii="Times New Roman" w:hAnsi="Times New Roman" w:cs="Times New Roman"/>
          <w:i/>
        </w:rPr>
        <w:t xml:space="preserve">ниям, указанным в приложениях №</w:t>
      </w:r>
      <w:r>
        <w:rPr>
          <w:rFonts w:ascii="Times New Roman" w:hAnsi="Times New Roman" w:cs="Times New Roman"/>
          <w:i/>
        </w:rPr>
        <w:t xml:space="preserve">2</w:t>
      </w:r>
      <w:r>
        <w:rPr>
          <w:rFonts w:ascii="Times New Roman" w:hAnsi="Times New Roman" w:cs="Times New Roman"/>
          <w:i/>
        </w:rPr>
        <w:t xml:space="preserve">, №</w:t>
      </w:r>
      <w:r>
        <w:rPr>
          <w:rFonts w:ascii="Times New Roman" w:hAnsi="Times New Roman" w:cs="Times New Roman"/>
          <w:i/>
        </w:rPr>
        <w:t xml:space="preserve">2</w:t>
      </w:r>
      <w:r>
        <w:rPr>
          <w:rFonts w:ascii="Times New Roman" w:hAnsi="Times New Roman" w:cs="Times New Roman"/>
          <w:i/>
        </w:rPr>
        <w:t xml:space="preserve">.1, №</w:t>
      </w:r>
      <w:r>
        <w:rPr>
          <w:rFonts w:ascii="Times New Roman" w:hAnsi="Times New Roman" w:cs="Times New Roman"/>
          <w:i/>
        </w:rPr>
        <w:t xml:space="preserve">2</w:t>
      </w:r>
      <w:r>
        <w:rPr>
          <w:rFonts w:ascii="Times New Roman" w:hAnsi="Times New Roman" w:cs="Times New Roman"/>
          <w:i/>
        </w:rPr>
        <w:t xml:space="preserve">.2 </w:t>
      </w:r>
      <w:r>
        <w:rPr>
          <w:rFonts w:ascii="Times New Roman" w:hAnsi="Times New Roman" w:cs="Times New Roman"/>
          <w:i/>
        </w:rPr>
        <w:t xml:space="preserve">к настоящему Договору, на сумму </w:t>
      </w:r>
      <w:r>
        <w:rPr>
          <w:rFonts w:ascii="Times New Roman" w:hAnsi="Times New Roman" w:cs="Times New Roman"/>
          <w:i/>
        </w:rPr>
        <w:t xml:space="preserve">5% (пять) от суммы договора (пункт 2.2 Договора)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(НДС не облагается), по акту приема-передачи по форме, согласно приложению № </w:t>
      </w:r>
      <w:r>
        <w:rPr>
          <w:rFonts w:ascii="Times New Roman" w:hAnsi="Times New Roman" w:cs="Times New Roman"/>
          <w:i/>
        </w:rPr>
        <w:t xml:space="preserve">3</w:t>
      </w:r>
      <w:r>
        <w:rPr>
          <w:rFonts w:ascii="Times New Roman" w:hAnsi="Times New Roman" w:cs="Times New Roman"/>
          <w:i/>
        </w:rPr>
        <w:t xml:space="preserve"> к настоящему Договору.</w:t>
      </w:r>
      <w:r>
        <w:rPr>
          <w:rFonts w:ascii="Times New Roman" w:hAnsi="Times New Roman" w:cs="Times New Roman"/>
          <w:i/>
        </w:rPr>
      </w:r>
      <w:r>
        <w:rPr>
          <w:rFonts w:ascii="Times New Roman" w:hAnsi="Times New Roman" w:cs="Times New Roman"/>
          <w:i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Исполнение Поставщиком обязательств по до</w:t>
      </w:r>
      <w:r>
        <w:rPr>
          <w:rFonts w:ascii="Times New Roman" w:hAnsi="Times New Roman" w:cs="Times New Roman"/>
        </w:rPr>
        <w:t xml:space="preserve">говору обеспечивается независимой</w:t>
      </w:r>
      <w:r>
        <w:rPr>
          <w:rFonts w:ascii="Times New Roman" w:hAnsi="Times New Roman" w:cs="Times New Roman"/>
        </w:rPr>
        <w:t xml:space="preserve"> гарантией № ХХХХХХХХ от ХХ.ХХ.ХХХХ года, выданной ХХХ «ХХХХХХХХ».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Порядок приемки продукции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5.1. Продукция принимается</w:t>
      </w:r>
      <w:r>
        <w:rPr>
          <w:rFonts w:ascii="Times New Roman" w:hAnsi="Times New Roman" w:cs="Times New Roman"/>
        </w:rPr>
        <w:t xml:space="preserve"> в соответствии с «Инструкцией о порядке приемки продукции производственно-технического назначения и товаров народного потребления по качеству» (утв. Постановлением Госарбитража СССР от 25.04.1966 №П-7) и «Инструкцией о порядке приемки продукции производст</w:t>
      </w:r>
      <w:r>
        <w:rPr>
          <w:rFonts w:ascii="Times New Roman" w:hAnsi="Times New Roman" w:cs="Times New Roman"/>
        </w:rPr>
        <w:t xml:space="preserve">венно-технического назначения и товаров народного потребления по количеству» (Утв. Постановлением Госарбитража СССР от 15.06.1965 №П-6) в их последних редакциях, в части не урегулированной данным договором и не противоречащей действующему законодательству.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Покупатель обязан проверить количество и качество принятой продукции, проверить соответствие продукции сведениям, указанным в транспортных и сопроводительных документах, а также принять эту продукци</w:t>
      </w:r>
      <w:r>
        <w:rPr>
          <w:rFonts w:ascii="Times New Roman" w:hAnsi="Times New Roman" w:cs="Times New Roman"/>
        </w:rPr>
        <w:t xml:space="preserve">ю</w:t>
      </w:r>
      <w:r>
        <w:rPr>
          <w:rFonts w:ascii="Times New Roman" w:hAnsi="Times New Roman" w:cs="Times New Roman"/>
        </w:rPr>
        <w:t xml:space="preserve"> от транспортной организации с соблюдением правил, предусмотренных законами и иными правовыми актами, регулирующими деятельность транспорта.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Приемка продукции производится Покупателем в односторонне</w:t>
      </w:r>
      <w:r>
        <w:rPr>
          <w:rFonts w:ascii="Times New Roman" w:hAnsi="Times New Roman" w:cs="Times New Roman"/>
        </w:rPr>
        <w:t xml:space="preserve">м порядке. Если Покупатель отказывается от переданной Поставщиком продукции, он обязан незамедлительно письменно уведомить Поставщика о выявленных несоответствиях или недостатках продукции и обеспечить сохранность продукции (ответственное хранение). Вызов </w:t>
      </w:r>
      <w:r>
        <w:rPr>
          <w:rFonts w:ascii="Times New Roman" w:hAnsi="Times New Roman" w:cs="Times New Roman"/>
        </w:rPr>
        <w:t xml:space="preserve">представителя Поставщика </w:t>
      </w:r>
      <w:r>
        <w:rPr>
          <w:rFonts w:ascii="Times New Roman" w:hAnsi="Times New Roman" w:cs="Times New Roman"/>
        </w:rPr>
        <w:t xml:space="preserve">для участия в продолжении приемки продукции и составления двустороннего акта обязател</w:t>
      </w:r>
      <w:r>
        <w:rPr>
          <w:rFonts w:ascii="Times New Roman" w:hAnsi="Times New Roman" w:cs="Times New Roman"/>
        </w:rPr>
        <w:t xml:space="preserve">ен. Поставщик обязан вывезти продукцию, принятую Покупателем (получателем) на ответственное хранение, или распорядиться ей в течение 2 суток. Если Поставщик в этот срок не распорядится продукцией, Покупатель вправе реализовать её или возвратить Поставщику.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Необходимые расходы, понесенные Покупателем в связи с принятием продукци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 на ответственное хранение, реализацией продукции или е</w:t>
      </w:r>
      <w:r>
        <w:rPr>
          <w:rFonts w:ascii="Times New Roman" w:hAnsi="Times New Roman" w:cs="Times New Roman"/>
        </w:rPr>
        <w:t xml:space="preserve">е</w:t>
      </w:r>
      <w:r>
        <w:rPr>
          <w:rFonts w:ascii="Times New Roman" w:hAnsi="Times New Roman" w:cs="Times New Roman"/>
        </w:rPr>
        <w:t xml:space="preserve"> возвратом Поставщику, подлежат возмещению Поставщиком. При этом вырученное от реализации продукции передается Поставщику за вычетом причитающегося Покупателю.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 </w:t>
      </w:r>
      <w:r>
        <w:rPr>
          <w:rFonts w:ascii="Times New Roman" w:hAnsi="Times New Roman" w:cs="Times New Roman"/>
        </w:rPr>
        <w:t xml:space="preserve">Моментом (датой) исполнения Поставщиком обязательства по поставке продукции, а равно моментом п</w:t>
      </w:r>
      <w:r>
        <w:rPr>
          <w:rFonts w:ascii="Times New Roman" w:hAnsi="Times New Roman" w:cs="Times New Roman"/>
        </w:rPr>
        <w:t xml:space="preserve">ерехода права собственности, риска случайной гибели или случайного повреждения на поставляемую по настоящему Договору продукцию, является момент передачи продукции Поставщиком Покупателю (с даты подписания Покупателем (грузополучателем) </w:t>
      </w:r>
      <w:r>
        <w:rPr>
          <w:rFonts w:ascii="Times New Roman" w:hAnsi="Times New Roman" w:cs="Times New Roman"/>
        </w:rPr>
        <w:t xml:space="preserve">УПД)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5.3. Некачественная (некомплектная) продукция считается не поставленной.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Ответственность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39"/>
        <w:jc w:val="both"/>
      </w:pPr>
      <w:r>
        <w:rPr>
          <w:rFonts w:ascii="Times New Roman" w:hAnsi="Times New Roman" w:cs="Times New Roman"/>
        </w:rPr>
        <w:t xml:space="preserve">6.1. </w:t>
      </w:r>
      <w:r>
        <w:rPr>
          <w:rFonts w:ascii="Times New Roman" w:hAnsi="Times New Roman" w:cs="Times New Roman"/>
        </w:rPr>
        <w:t xml:space="preserve">В</w:t>
      </w:r>
      <w:r>
        <w:rPr>
          <w:rFonts w:ascii="Times New Roman" w:hAnsi="Times New Roman" w:cs="Times New Roman"/>
        </w:rPr>
        <w:t xml:space="preserve"> случае нарушения Поставщиком обязательств по поставке продукции (нарушение срока поставки, недопоставка), Покупатель вправе потребовать уплаты Поставщиком неустойки в размере 0,1 (ноль целых и одна десятая) процента от цены Договора за каждый день просроч</w:t>
      </w:r>
      <w:r>
        <w:rPr>
          <w:rFonts w:ascii="Times New Roman" w:hAnsi="Times New Roman" w:cs="Times New Roman"/>
        </w:rPr>
        <w:t xml:space="preserve">ки.</w:t>
      </w:r>
      <w:r>
        <w:rPr>
          <w:rFonts w:ascii="Times New Roman" w:hAnsi="Times New Roman" w:cs="Times New Roman"/>
        </w:rPr>
      </w:r>
      <w:r/>
    </w:p>
    <w:p>
      <w:pPr>
        <w:pStyle w:val="856"/>
        <w:ind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6.2. В случае несвоевременного устранения Поставщиком выявленных недостатков продукции, Покупатель вправе потребовать уплаты Поставщиком неустойки в размере 0,1 (ноль целых и одна десятая) процента от цены некачественной продукции за каждый день просрочки.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40"/>
        <w:jc w:val="both"/>
        <w:rPr>
          <w:szCs w:val="24"/>
        </w:rPr>
      </w:pPr>
      <w:r>
        <w:rPr>
          <w:szCs w:val="24"/>
        </w:rPr>
        <w:t xml:space="preserve">6.3. В случае нарушения Покупателем сроков оплаты поставленной продукции, Поставщик вправе потребовать уплаты Покупателем</w:t>
      </w:r>
      <w:r>
        <w:rPr>
          <w:szCs w:val="24"/>
        </w:rPr>
        <w:t xml:space="preserve"> исключительной неустойки в размере 0,1 (ноль целых и одна десятая) процента от несвоевременно оплаченной суммы за каждый день просрочки, начиная с 31 (тридцать первого) календарного дня просрочки (неустойка с 1 по 30 день просрочки не начисляется).</w:t>
      </w:r>
      <w:r>
        <w:rPr>
          <w:szCs w:val="24"/>
        </w:rPr>
      </w:r>
      <w:r>
        <w:rPr>
          <w:szCs w:val="24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6.4. Уплата неустойки не освобождает Стороны от исполнения обязательств по настоящему Договору.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6.5. В случае нарушения Поставщиком обязательств по поставке продукции, на срок свыше 60 (шестидесяти) календарных дней, Покупатель имеет право отказаться от испол</w:t>
      </w:r>
      <w:r>
        <w:rPr>
          <w:szCs w:val="24"/>
        </w:rPr>
        <w:t xml:space="preserve">нения обязательств по Договору в одностороннем внесудебном порядке, а также потребовать возмещения убытков.</w:t>
      </w:r>
      <w:r>
        <w:rPr>
          <w:szCs w:val="24"/>
        </w:rPr>
        <w:t xml:space="preserve">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6.6.</w:t>
      </w:r>
      <w:r>
        <w:rPr>
          <w:color w:val="000000"/>
          <w:szCs w:val="24"/>
        </w:rPr>
        <w:t xml:space="preserve"> </w:t>
      </w:r>
      <w:r>
        <w:rPr>
          <w:szCs w:val="24"/>
        </w:rPr>
        <w:t xml:space="preserve">Если в результате составления и выставления Поставщиком УПД с нарушением порядка и тр</w:t>
      </w:r>
      <w:r>
        <w:rPr>
          <w:szCs w:val="24"/>
        </w:rPr>
        <w:t xml:space="preserve">ебований, установленных законодательством Российской Федерации, Покупатель понес расходы, связанные с начислением налоговыми органами по такому основанию сумм НДС, пеней и налоговых санкций, Поставщик обязан компенсировать Покупателю сумму таких расходов.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Основанием для компенсации являются решения налоговых органов, вынесенные по итогам проведения мероприятий налогового контроля.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Сумма расходов компенсируется Поставщиком в течение 10 (десяти) рабочих дней с даты получения соответствующего письменного требования Покупателя.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В случае нарушения Поставщиком сроков, предусмотренных пунктом 4.1.</w:t>
      </w:r>
      <w:r>
        <w:rPr>
          <w:szCs w:val="24"/>
        </w:rPr>
        <w:t xml:space="preserve">6</w:t>
      </w:r>
      <w:r>
        <w:rPr>
          <w:szCs w:val="24"/>
        </w:rPr>
        <w:t xml:space="preserve">., Покупатель также имеет право требовать от Поставщика уплаты штрафа в размере 50 000 (пятидесяти тысяч) рублей за каждый случай нарушения.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rFonts w:eastAsia="Calibri"/>
          <w:szCs w:val="24"/>
        </w:rPr>
      </w:pPr>
      <w:r>
        <w:rPr>
          <w:szCs w:val="24"/>
        </w:rPr>
        <w:t xml:space="preserve">6</w:t>
      </w:r>
      <w:r>
        <w:rPr>
          <w:rFonts w:eastAsia="Calibri"/>
          <w:szCs w:val="24"/>
        </w:rPr>
        <w:t xml:space="preserve">.7. В случае поступления продукции несоответствующей сведениям о стране происхождения продукции, согласованной в договоре, Покупатель вправе взыскать с Поставщика штраф в размере 10% от стоимости поставленной продукции несоответствующей сведениям.</w:t>
      </w:r>
      <w:r>
        <w:rPr>
          <w:rFonts w:eastAsia="Calibri"/>
          <w:szCs w:val="24"/>
        </w:rPr>
      </w:r>
      <w:r>
        <w:rPr>
          <w:rFonts w:eastAsia="Calibri"/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rFonts w:eastAsia="Calibri"/>
          <w:szCs w:val="24"/>
        </w:rPr>
        <w:t xml:space="preserve">6.8. </w:t>
      </w:r>
      <w:r>
        <w:rPr>
          <w:szCs w:val="24"/>
        </w:rPr>
        <w:t xml:space="preserve">За непредставление либо несвоевременное предоставление / переоформление Поставщиком Независимой гарантии, предусмотренной Договором, в соответствии с приложениями </w:t>
      </w:r>
      <w:r>
        <w:rPr>
          <w:szCs w:val="24"/>
        </w:rPr>
        <w:t xml:space="preserve">№№ </w:t>
      </w:r>
      <w:r>
        <w:rPr>
          <w:szCs w:val="24"/>
        </w:rPr>
        <w:t xml:space="preserve">2</w:t>
      </w:r>
      <w:r>
        <w:rPr>
          <w:szCs w:val="24"/>
        </w:rPr>
        <w:t xml:space="preserve">, </w:t>
      </w:r>
      <w:r>
        <w:rPr>
          <w:szCs w:val="24"/>
        </w:rPr>
        <w:t xml:space="preserve">2</w:t>
      </w:r>
      <w:r>
        <w:rPr>
          <w:szCs w:val="24"/>
        </w:rPr>
        <w:t xml:space="preserve">.1, </w:t>
      </w:r>
      <w:r>
        <w:rPr>
          <w:szCs w:val="24"/>
        </w:rPr>
        <w:t xml:space="preserve">2</w:t>
      </w:r>
      <w:r>
        <w:rPr>
          <w:szCs w:val="24"/>
        </w:rPr>
        <w:t xml:space="preserve">.2, </w:t>
      </w:r>
      <w:r>
        <w:rPr>
          <w:szCs w:val="24"/>
        </w:rPr>
        <w:t xml:space="preserve">3</w:t>
      </w:r>
      <w:r>
        <w:rPr>
          <w:szCs w:val="24"/>
        </w:rPr>
        <w:t xml:space="preserve"> к настоящему Договору, </w:t>
      </w:r>
      <w:r>
        <w:rPr>
          <w:szCs w:val="24"/>
        </w:rPr>
        <w:t xml:space="preserve">Покупатель вправе потребовать уплаты Поставщиком неустойки в размере 0,03 (ноль целых и три сотых) процента от цены Договора за каждый день просрочки. </w:t>
      </w:r>
      <w:r>
        <w:rPr>
          <w:szCs w:val="24"/>
        </w:rPr>
      </w:r>
      <w:r>
        <w:rPr>
          <w:szCs w:val="24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6.9</w:t>
      </w:r>
      <w:r>
        <w:rPr>
          <w:rFonts w:ascii="Times New Roman" w:hAnsi="Times New Roman" w:cs="Times New Roman"/>
        </w:rPr>
        <w:t xml:space="preserve">. Ответственность Сторон в иных случаях определяется в соответствии с законодательством Российской Федерации.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Действие обстоятельств непреодолимой силы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7.1. Ни одна из Сторон не несет ответственность перед другой Стороной за неисполнение обязательств по настоящему Договору, обусловленное действием обстоятельств непреодолимой силы, т.е. чрезвычайных и непредотвратимых при данных условиях обстоятельств.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7.2. 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7.3. Сторона, которая не исполняет обязательств по настоящему Договору вследствие действия непреодолимой силы, должна незамедлительно известить другую Сторону о таких обстоятельствах и их влиянии на исполнение обязательств по Договору.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7.4. Если обстоятельства непреодолимой силы действуют на протяжении 3 (трех) последовательных месяцев, настоящий Договор может быть расторгнут любой из Сторон путем направления письменного уведомления другой Стороне.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Порядок разрешения споров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</w:t>
      </w:r>
      <w:r>
        <w:rPr>
          <w:rFonts w:ascii="Times New Roman" w:hAnsi="Times New Roman" w:cs="Times New Roman"/>
        </w:rPr>
        <w:t xml:space="preserve">1</w:t>
      </w:r>
      <w:r>
        <w:rPr>
          <w:rFonts w:ascii="Times New Roman" w:hAnsi="Times New Roman" w:cs="Times New Roman"/>
        </w:rPr>
        <w:t xml:space="preserve">. Все споры или разногласия, возникающие между Сторонами при исполнении настояще</w:t>
      </w:r>
      <w:r>
        <w:rPr>
          <w:rFonts w:ascii="Times New Roman" w:hAnsi="Times New Roman" w:cs="Times New Roman"/>
        </w:rPr>
        <w:t xml:space="preserve">го</w:t>
      </w:r>
      <w:r>
        <w:rPr>
          <w:rFonts w:ascii="Times New Roman" w:hAnsi="Times New Roman" w:cs="Times New Roman"/>
        </w:rPr>
        <w:t xml:space="preserve"> Договор</w:t>
      </w:r>
      <w:r>
        <w:rPr>
          <w:rFonts w:ascii="Times New Roman" w:hAnsi="Times New Roman" w:cs="Times New Roman"/>
        </w:rPr>
        <w:t xml:space="preserve">а</w:t>
      </w:r>
      <w:r>
        <w:rPr>
          <w:rFonts w:ascii="Times New Roman" w:hAnsi="Times New Roman" w:cs="Times New Roman"/>
        </w:rPr>
        <w:t xml:space="preserve">, разрешаются путем переговоров между ними.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</w:t>
      </w:r>
      <w:r>
        <w:rPr>
          <w:rFonts w:ascii="Times New Roman" w:hAnsi="Times New Roman" w:cs="Times New Roman"/>
        </w:rPr>
        <w:t xml:space="preserve">2</w:t>
      </w:r>
      <w:r>
        <w:rPr>
          <w:rFonts w:ascii="Times New Roman" w:hAnsi="Times New Roman" w:cs="Times New Roman"/>
        </w:rPr>
        <w:t xml:space="preserve">. В случае невозможности разрешения разногласий путем переговоров они подлежат рассмотрению </w:t>
      </w:r>
      <w:r>
        <w:rPr>
          <w:rFonts w:ascii="Times New Roman" w:hAnsi="Times New Roman" w:cs="Times New Roman"/>
        </w:rPr>
        <w:t xml:space="preserve">в Арбитражном суде </w:t>
      </w:r>
      <w:r>
        <w:rPr>
          <w:rFonts w:ascii="Times New Roman" w:hAnsi="Times New Roman" w:cs="Times New Roman"/>
        </w:rPr>
        <w:t xml:space="preserve">Хабаровского края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8.3. 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</w:t>
      </w:r>
      <w:r>
        <w:rPr>
          <w:rFonts w:ascii="Times New Roman" w:hAnsi="Times New Roman" w:cs="Times New Roman"/>
        </w:rPr>
        <w:t xml:space="preserve">ебований.  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9"/>
        <w:numPr>
          <w:ilvl w:val="0"/>
          <w:numId w:val="10"/>
        </w:numPr>
        <w:jc w:val="center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  <w:t xml:space="preserve">Антикоррупционная оговорка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879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color w:val="000000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000000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  <w:szCs w:val="24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Cs w:val="24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000000"/>
          <w:szCs w:val="24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color w:val="000000"/>
          <w:szCs w:val="24"/>
        </w:rPr>
        <w:t xml:space="preserve">Каналы связи Линия доверия Группы РусГидро: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2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0" w:leader="none"/>
          <w:tab w:val="left" w:pos="1134" w:leader="none"/>
          <w:tab w:val="num" w:pos="1418" w:leader="none"/>
          <w:tab w:val="num" w:pos="4690" w:leader="none"/>
        </w:tabs>
        <w:rPr>
          <w:szCs w:val="24"/>
        </w:rPr>
      </w:pPr>
      <w:r>
        <w:rPr>
          <w:szCs w:val="24"/>
        </w:rPr>
        <w:t xml:space="preserve">Электронная почта: </w:t>
      </w:r>
      <w:hyperlink r:id="rId10" w:tooltip="mailto:ld@rushydro.ru" w:history="1">
        <w:r>
          <w:rPr>
            <w:color w:val="0000ff"/>
            <w:szCs w:val="24"/>
            <w:u w:val="single"/>
          </w:rPr>
          <w:t xml:space="preserve">ld@rushydro.ru</w:t>
        </w:r>
      </w:hyperlink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numPr>
          <w:ilvl w:val="2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left" w:pos="0" w:leader="none"/>
          <w:tab w:val="left" w:pos="1134" w:leader="none"/>
          <w:tab w:val="num" w:pos="1276" w:leader="none"/>
          <w:tab w:val="num" w:pos="1418" w:leader="none"/>
          <w:tab w:val="num" w:pos="4690" w:leader="none"/>
        </w:tabs>
        <w:rPr>
          <w:bCs/>
          <w:szCs w:val="24"/>
        </w:rPr>
      </w:pPr>
      <w:r>
        <w:rPr>
          <w:szCs w:val="24"/>
        </w:rPr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2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left" w:pos="0" w:leader="none"/>
          <w:tab w:val="left" w:pos="1134" w:leader="none"/>
          <w:tab w:val="num" w:pos="1276" w:leader="none"/>
          <w:tab w:val="num" w:pos="1418" w:leader="none"/>
          <w:tab w:val="num" w:pos="4690" w:leader="none"/>
        </w:tabs>
        <w:rPr>
          <w:bCs/>
          <w:szCs w:val="24"/>
        </w:rPr>
      </w:pPr>
      <w:r>
        <w:rPr>
          <w:szCs w:val="24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numPr>
          <w:ilvl w:val="0"/>
          <w:numId w:val="10"/>
        </w:numPr>
        <w:contextualSpacing/>
        <w:jc w:val="center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  <w:t xml:space="preserve">Особые положения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contextualSpacing/>
        <w:ind w:left="720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Поставщик обязуется не привлекать и не допускать привлечения к исполнению обязательств по Договору организации: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contextualSpacing/>
        <w:ind w:firstLine="567"/>
        <w:jc w:val="both"/>
        <w:shd w:val="clear" w:color="auto" w:fill="ffffff"/>
        <w:widowControl w:val="off"/>
        <w:rPr>
          <w:bCs/>
          <w:szCs w:val="24"/>
        </w:rPr>
      </w:pPr>
      <w:r>
        <w:rPr>
          <w:bCs/>
          <w:szCs w:val="24"/>
        </w:rPr>
        <w:t xml:space="preserve">- имеющие признаки недобросовестности, опред</w:t>
      </w:r>
      <w:r>
        <w:rPr>
          <w:bCs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1" w:tooltip="consultantplus://offline/ref=94D5CE8889791A29DE57299515463A9D6134D8237B999C803E6F853513x2A2P" w:history="1">
        <w:r>
          <w:rPr>
            <w:bCs/>
            <w:szCs w:val="24"/>
          </w:rPr>
          <w:t xml:space="preserve">№ 18162/09</w:t>
        </w:r>
      </w:hyperlink>
      <w:r>
        <w:rPr>
          <w:bCs/>
          <w:szCs w:val="24"/>
        </w:rPr>
        <w:t xml:space="preserve"> и от 25.05.2010 </w:t>
      </w:r>
      <w:hyperlink r:id="rId12" w:tooltip="consultantplus://offline/ref=94D5CE8889791A29DE57299515463A9D6135D2287D929C803E6F853513x2A2P" w:history="1">
        <w:r>
          <w:rPr>
            <w:bCs/>
            <w:szCs w:val="24"/>
          </w:rPr>
          <w:t xml:space="preserve">№ 15658/09</w:t>
        </w:r>
      </w:hyperlink>
      <w:r>
        <w:rPr>
          <w:bCs/>
          <w:szCs w:val="24"/>
        </w:rPr>
        <w:t xml:space="preserve">, согласно которым при оценке необоснованной налоговой в</w:t>
      </w:r>
      <w:r>
        <w:rPr>
          <w:bCs/>
          <w:szCs w:val="24"/>
        </w:rPr>
        <w:t xml:space="preserve">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contextualSpacing/>
        <w:ind w:firstLine="567"/>
        <w:jc w:val="both"/>
        <w:shd w:val="clear" w:color="auto" w:fill="ffffff"/>
        <w:widowControl w:val="off"/>
        <w:rPr>
          <w:bCs/>
          <w:szCs w:val="24"/>
        </w:rPr>
      </w:pPr>
      <w:r>
        <w:rPr>
          <w:bCs/>
          <w:szCs w:val="24"/>
        </w:rPr>
        <w:t xml:space="preserve">- соответствующие </w:t>
      </w:r>
      <w:hyperlink r:id="rId13" w:tooltip="consultantplus://offline/ref=79440D5123ABA6A25F43346AB59DBAAC7032C8E1556DA64FAED62E167F76889C2B7C475C32EFC59BJ8rDH" w:history="1">
        <w:r>
          <w:rPr>
            <w:bCs/>
            <w:szCs w:val="24"/>
          </w:rPr>
          <w:t xml:space="preserve">Критери</w:t>
        </w:r>
      </w:hyperlink>
      <w:r>
        <w:rPr>
          <w:bCs/>
          <w:szCs w:val="24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пункте 10.1. Договора, а также обеспечить прекращение участия таких </w:t>
      </w:r>
      <w:r>
        <w:rPr>
          <w:bCs/>
          <w:szCs w:val="24"/>
        </w:rPr>
        <w:t xml:space="preserve">организаций в исполнении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В случае н</w:t>
      </w:r>
      <w:r>
        <w:rPr>
          <w:bCs/>
          <w:szCs w:val="24"/>
        </w:rPr>
        <w:t xml:space="preserve">арушения Поставщиком обязательств, установленных пунктами 10.1., 10.2. Договора, Покупатель в дополнение к основаниям, предусмотренным Договором, вправе в одностороннем внесудебном порядке отказаться от Договора путем направления уведомления об отказе от Д</w:t>
      </w:r>
      <w:r>
        <w:rPr>
          <w:bCs/>
          <w:szCs w:val="24"/>
        </w:rPr>
        <w:t xml:space="preserve">оговора (исполнения Договора) с указанием даты прекращения (расторжения) Договора, которая должна наступать ранее 10 (десяти) рабочих дней с даты получения Поставщиком такого уведомления. Договор считается прекращенным (расторгнутым) с даты, указанной в ув</w:t>
      </w:r>
      <w:r>
        <w:rPr>
          <w:bCs/>
          <w:szCs w:val="24"/>
        </w:rPr>
        <w:t xml:space="preserve">едомлении об отказе от Договора (исполнения Договора) при условии, что Покупатель не отзовет указанное Уведомление по итогам рассмотрения мотивированных письменных возражений Поставщика, представленных до наступления указанной Покупателем даты расторжения.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Поставщик обязан уплатить Покупателю шт</w:t>
      </w:r>
      <w:r>
        <w:rPr>
          <w:bCs/>
          <w:szCs w:val="24"/>
        </w:rPr>
        <w:t xml:space="preserve">раф в размере суммы денежных средств, перечисленной организации, отвечающей признакам недобросовестности, а также дополнительно компенсировать Покупателю убытки, причиненные в результате нарушения обязательств, установленных пунктами 10.1., 10.2.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  <w:tab w:val="num" w:pos="1418" w:leader="none"/>
        </w:tabs>
        <w:rPr>
          <w:bCs/>
          <w:szCs w:val="24"/>
        </w:rPr>
      </w:pPr>
      <w:r>
        <w:rPr>
          <w:bCs/>
          <w:szCs w:val="24"/>
        </w:rPr>
        <w:t xml:space="preserve">Штраф, предусмотренный пунктом 10.4. Договора, оплачивается Поставщиком в течение 10 (десяти) рабочих дне</w:t>
      </w:r>
      <w:r>
        <w:rPr>
          <w:bCs/>
          <w:szCs w:val="24"/>
        </w:rPr>
        <w:t xml:space="preserve">й с даты получения соответствующего письменного требования Покупателя. Покупатель вправе предъявить требование об уплате штрафа вне зависимости от направления уведомления об отказе от Договора (исполнения Договора), предусмотренного пунктом 10.3.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  <w:tab w:val="num" w:pos="1418" w:leader="none"/>
        </w:tabs>
        <w:rPr>
          <w:bCs/>
          <w:szCs w:val="24"/>
        </w:rPr>
      </w:pPr>
      <w:r>
        <w:rPr>
          <w:bCs/>
          <w:szCs w:val="24"/>
        </w:rPr>
        <w:t xml:space="preserve">Покупатель вправе приостановить осуществление любых платежей по Договору, причитающихся Поставщику, независимо от наличия оснований и наступления сроков таких платежей, до уплаты Поставщиком штрафа, предус</w:t>
      </w:r>
      <w:bookmarkStart w:id="0" w:name="_GoBack"/>
      <w:r/>
      <w:bookmarkEnd w:id="0"/>
      <w:r>
        <w:rPr>
          <w:bCs/>
          <w:szCs w:val="24"/>
        </w:rPr>
        <w:t xml:space="preserve">мотренного пунктом 10.4. Договора. При этом Покупатель не будет считаться просрочившим и/ или нарушившим свои обязательства по Договору.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40"/>
        <w:jc w:val="both"/>
        <w:shd w:val="clear" w:color="auto" w:fill="ffffff"/>
        <w:widowControl w:val="off"/>
        <w:tabs>
          <w:tab w:val="num" w:pos="1134" w:leader="none"/>
          <w:tab w:val="num" w:pos="1418" w:leader="none"/>
        </w:tabs>
        <w:rPr>
          <w:szCs w:val="24"/>
        </w:rPr>
      </w:pPr>
      <w:r>
        <w:rPr>
          <w:bCs/>
          <w:szCs w:val="24"/>
        </w:rPr>
        <w:t xml:space="preserve">Независимо от других положений Договора, положения пунктов 10.4., 10.5. Договора продолжают действовать в течение 4 (четырех) лет после его прекращения (расторжения) или исполнения.</w:t>
      </w:r>
      <w:r>
        <w:rPr>
          <w:szCs w:val="24"/>
        </w:rPr>
      </w:r>
      <w:r>
        <w:rPr>
          <w:szCs w:val="24"/>
        </w:rPr>
      </w:r>
    </w:p>
    <w:p>
      <w:pPr>
        <w:contextualSpacing/>
        <w:ind w:left="540"/>
        <w:jc w:val="both"/>
        <w:shd w:val="clear" w:color="auto" w:fill="ffffff"/>
        <w:widowControl w:val="off"/>
        <w:tabs>
          <w:tab w:val="num" w:pos="1418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56"/>
        <w:ind w:left="72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11. </w:t>
      </w:r>
      <w:r>
        <w:rPr>
          <w:rFonts w:ascii="Times New Roman" w:hAnsi="Times New Roman" w:cs="Times New Roman"/>
          <w:b/>
          <w:bCs/>
        </w:rPr>
        <w:t xml:space="preserve">Прочие условия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.1. С момента подписания Сторонами настоящего Договора все предыдущие переговоры и переписка по нему теряют силу.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.2. Насто</w:t>
      </w:r>
      <w:r>
        <w:rPr>
          <w:rFonts w:ascii="Times New Roman" w:hAnsi="Times New Roman" w:cs="Times New Roman"/>
        </w:rPr>
        <w:t xml:space="preserve">ящий Договор вступает в силу</w:t>
      </w:r>
      <w:r>
        <w:rPr>
          <w:rFonts w:ascii="Times New Roman" w:hAnsi="Times New Roman" w:cs="Times New Roman"/>
        </w:rPr>
        <w:t xml:space="preserve"> с </w:t>
      </w:r>
      <w:r>
        <w:rPr>
          <w:rFonts w:ascii="Times New Roman" w:hAnsi="Times New Roman" w:cs="Times New Roman"/>
        </w:rPr>
        <w:t xml:space="preserve">даты</w:t>
      </w:r>
      <w:r>
        <w:rPr>
          <w:rFonts w:ascii="Times New Roman" w:hAnsi="Times New Roman" w:cs="Times New Roman"/>
        </w:rPr>
        <w:t xml:space="preserve"> подписания и действует </w:t>
      </w:r>
      <w:r>
        <w:rPr>
          <w:rFonts w:ascii="Times New Roman" w:hAnsi="Times New Roman" w:cs="Times New Roman"/>
        </w:rPr>
        <w:t xml:space="preserve">по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30.12.2026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года, а в части </w:t>
      </w:r>
      <w:r>
        <w:rPr>
          <w:rFonts w:ascii="Times New Roman" w:hAnsi="Times New Roman" w:cs="Times New Roman"/>
        </w:rPr>
        <w:t xml:space="preserve">неисполненных обязательств</w:t>
      </w:r>
      <w:r>
        <w:rPr>
          <w:rFonts w:ascii="Times New Roman" w:hAnsi="Times New Roman" w:cs="Times New Roman"/>
        </w:rPr>
        <w:t xml:space="preserve"> – до полного их </w:t>
      </w:r>
      <w:r>
        <w:rPr>
          <w:rFonts w:ascii="Times New Roman" w:hAnsi="Times New Roman" w:cs="Times New Roman"/>
        </w:rPr>
        <w:t xml:space="preserve">исполнения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.3. </w:t>
      </w:r>
      <w:r>
        <w:rPr>
          <w:rFonts w:ascii="Times New Roman" w:hAnsi="Times New Roman" w:cs="Times New Roman"/>
        </w:rPr>
        <w:t xml:space="preserve">Все приложения, изменения и дополнения к настоящему договору являются его неотъемлемой частью, должны быть составлены в письменной форме и подписаны</w:t>
      </w:r>
      <w:r>
        <w:rPr>
          <w:rFonts w:ascii="Times New Roman" w:hAnsi="Times New Roman" w:cs="Times New Roman"/>
        </w:rPr>
        <w:t xml:space="preserve"> о</w:t>
      </w:r>
      <w:r>
        <w:rPr>
          <w:rFonts w:ascii="Times New Roman" w:hAnsi="Times New Roman" w:cs="Times New Roman"/>
        </w:rPr>
        <w:t xml:space="preserve">беими Сторонами.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.4. Уступка, передача в залог прав (требований), принадлежащих Поставщику на основании Договора, допускается только с предварительного письменного согласия Покупателя.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.5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 случае изменения у какой-</w:t>
      </w:r>
      <w:r>
        <w:rPr>
          <w:rFonts w:ascii="Times New Roman" w:hAnsi="Times New Roman" w:cs="Times New Roman"/>
        </w:rPr>
        <w:t xml:space="preserve">либо из Сторон местонахождения, названия, банковских реквизитов и прочего она обязана в течение 10 (десяти) дней письменно известить об этом другую Сторону.</w:t>
      </w:r>
      <w:r>
        <w:rPr>
          <w:rFonts w:ascii="Times New Roman" w:hAnsi="Times New Roman" w:cs="Times New Roman"/>
        </w:rPr>
        <w:t xml:space="preserve"> При этом заключение дополнительного соглашения не требуется.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.6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Настоящий Договор заключается в электронной форме с использованием программно-аппаратных средств электронной торговой площадки путем его подписания усиленными квалифицированными электронными подписями уполномоченных представителей Сторон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56"/>
        <w:ind w:firstLine="540"/>
        <w:jc w:val="both"/>
      </w:pPr>
      <w:r>
        <w:rPr>
          <w:rFonts w:ascii="Times New Roman" w:hAnsi="Times New Roman" w:cs="Times New Roman"/>
          <w:highlight w:val="none"/>
        </w:rPr>
        <w:t xml:space="preserve">11.7 </w:t>
      </w:r>
      <w:r>
        <w:rPr>
          <w:rFonts w:ascii="Times New Roman" w:hAnsi="Times New Roman" w:cs="Times New Roman"/>
          <w:highlight w:val="none"/>
        </w:rPr>
        <w:t xml:space="preserve">Стороны договорились в рамках исполнения Договора о возможности применения электронного </w:t>
      </w:r>
      <w:r>
        <w:rPr>
          <w:rFonts w:ascii="Times New Roman" w:hAnsi="Times New Roman" w:cs="Times New Roman"/>
          <w:highlight w:val="none"/>
        </w:rPr>
        <w:t xml:space="preserve">документооборота, руководствуясь действующим законодательством Российской Федерации, Правилами операторов систем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электронного документооборота (аккредитованных ФНС РФ), с которыми у Сторон заключены соответствующие Соглашения, а также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Регламентами предоставления услуг Операторов Удостоверяющих центров. Передача электронных документов осуществляется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через АО «ПФ «СКБ Контур» с использованием web-решения Диадок (https://www.diadoc.ru/). В случае использования </w:t>
      </w:r>
      <w:r>
        <w:rPr>
          <w:rFonts w:ascii="Times New Roman" w:hAnsi="Times New Roman" w:cs="Times New Roman"/>
          <w:highlight w:val="none"/>
        </w:rPr>
        <w:t xml:space="preserve">Поставщиком другого оператора электронного документооборота (аккредитованного ФНС РФ), Покупатель,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при наличии технической возможности у используемых Покупателем операторов, инициирует настройку роуминга между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операторами систем электронного документооборота Сторон</w:t>
      </w:r>
      <w:r>
        <w:rPr>
          <w:rFonts w:ascii="Times New Roman" w:hAnsi="Times New Roman" w:cs="Times New Roman"/>
        </w:rPr>
        <w:t xml:space="preserve">.</w:t>
      </w:r>
      <w:r/>
    </w:p>
    <w:p>
      <w:pPr>
        <w:pStyle w:val="856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left="72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12. </w:t>
      </w:r>
      <w:r>
        <w:rPr>
          <w:rFonts w:ascii="Times New Roman" w:hAnsi="Times New Roman" w:cs="Times New Roman"/>
          <w:b/>
          <w:bCs/>
        </w:rPr>
        <w:t xml:space="preserve">Местонахождение и банковские реквизиты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tbl>
      <w:tblPr>
        <w:tblW w:w="9682" w:type="dxa"/>
        <w:tblLook w:val="0000" w:firstRow="0" w:lastRow="0" w:firstColumn="0" w:lastColumn="0" w:noHBand="0" w:noVBand="0"/>
      </w:tblPr>
      <w:tblGrid>
        <w:gridCol w:w="4753"/>
        <w:gridCol w:w="4929"/>
      </w:tblGrid>
      <w:tr>
        <w:tblPrEx/>
        <w:trPr>
          <w:trHeight w:val="300"/>
        </w:trPr>
        <w:tc>
          <w:tcPr>
            <w:tcW w:w="4753" w:type="dxa"/>
            <w:textDirection w:val="lrTb"/>
            <w:noWrap w:val="false"/>
          </w:tcPr>
          <w:p>
            <w:pPr>
              <w:pStyle w:val="850"/>
            </w:pPr>
            <w:r>
              <w:t xml:space="preserve">Покупатель:</w:t>
            </w:r>
            <w:r/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56"/>
              <w:ind w:left="-114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Поставщик: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pStyle w:val="856"/>
              <w:ind w:left="-114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blPrEx/>
        <w:trPr>
          <w:trHeight w:val="300"/>
        </w:trPr>
        <w:tc>
          <w:tcPr>
            <w:tcW w:w="4753" w:type="dxa"/>
            <w:textDirection w:val="lrTb"/>
            <w:noWrap w:val="false"/>
          </w:tcPr>
          <w:p>
            <w:pPr>
              <w:pStyle w:val="850"/>
            </w:pPr>
            <w:r>
              <w:t xml:space="preserve">АО «ДГК»</w:t>
            </w:r>
            <w:r/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56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blPrEx/>
        <w:trPr>
          <w:trHeight w:val="3962"/>
        </w:trPr>
        <w:tc>
          <w:tcPr>
            <w:tcW w:w="4753" w:type="dxa"/>
            <w:textDirection w:val="lrTb"/>
            <w:noWrap w:val="false"/>
          </w:tcPr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нахождения: Российская Федерация,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Хабаровск.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Адрес: 680000, Хабаровский край,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Хабаровск, Фрунзе, 49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 1434031363, КПП 997650001,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ОКПО 76727851, БИК 040813608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Дальневосточный Банк </w:t>
            </w:r>
            <w:r>
              <w:rPr>
                <w:rFonts w:ascii="Times New Roman" w:hAnsi="Times New Roman" w:cs="Times New Roman"/>
              </w:rPr>
              <w:t xml:space="preserve">ПАО </w:t>
            </w:r>
            <w:r>
              <w:rPr>
                <w:rFonts w:ascii="Times New Roman" w:hAnsi="Times New Roman" w:cs="Times New Roman"/>
              </w:rPr>
              <w:t xml:space="preserve">Сбербанка РФ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Хабаровск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407 028 102 700 000 088 18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к/с 301 018 106 000 000 006 08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тел. (4212) </w:t>
            </w:r>
            <w:r>
              <w:rPr>
                <w:rFonts w:ascii="Times New Roman" w:hAnsi="Times New Roman" w:cs="Times New Roman"/>
              </w:rPr>
              <w:t xml:space="preserve">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56"/>
              <w:ind w:left="317" w:right="14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left="317" w:right="14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left="317" w:right="14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98"/>
        </w:trPr>
        <w:tc>
          <w:tcPr>
            <w:tcW w:w="4753" w:type="dxa"/>
            <w:textDirection w:val="lrTb"/>
            <w:noWrap w:val="false"/>
          </w:tcPr>
          <w:p>
            <w:pPr>
              <w:pStyle w:val="856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</w:t>
            </w:r>
            <w:r>
              <w:rPr>
                <w:rFonts w:ascii="Times New Roman" w:hAnsi="Times New Roman" w:cs="Times New Roman"/>
              </w:rPr>
              <w:t xml:space="preserve">_ </w:t>
            </w:r>
            <w:r>
              <w:rPr>
                <w:rFonts w:ascii="Times New Roman" w:hAnsi="Times New Roman" w:cs="Times New Roman"/>
              </w:rPr>
              <w:t xml:space="preserve">/</w:t>
            </w:r>
            <w:r>
              <w:rPr>
                <w:rFonts w:ascii="Times New Roman" w:hAnsi="Times New Roman" w:cs="Times New Roman"/>
              </w:rPr>
              <w:t xml:space="preserve">___________</w:t>
            </w:r>
            <w:r>
              <w:rPr>
                <w:rFonts w:ascii="Times New Roman" w:hAnsi="Times New Roman" w:cs="Times New Roman"/>
              </w:rPr>
              <w:t xml:space="preserve">/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_______________/__________/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856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7" w:h="16840" w:orient="portrait"/>
      <w:pgMar w:top="851" w:right="851" w:bottom="851" w:left="1418" w:header="720" w:footer="284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rFonts w:hint="default"/>
      </w:rPr>
    </w:lvl>
    <w:lvl w:ilvl="1">
      <w:start w:val="4"/>
      <w:numFmt w:val="decimal"/>
      <w:isLgl/>
      <w:suff w:val="tab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9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</w:lvl>
    <w:lvl w:ilvl="1">
      <w:start w:val="1"/>
      <w:numFmt w:val="decimal"/>
      <w:isLgl/>
      <w:suff w:val="tab"/>
      <w:lvlText w:val="%1.%2."/>
      <w:lvlJc w:val="left"/>
      <w:pPr>
        <w:ind w:left="16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90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pStyle w:val="870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871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9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4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0">
    <w:name w:val="Heading 1 Char"/>
    <w:basedOn w:val="851"/>
    <w:link w:val="850"/>
    <w:uiPriority w:val="9"/>
    <w:rPr>
      <w:rFonts w:ascii="Arial" w:hAnsi="Arial" w:eastAsia="Arial" w:cs="Arial"/>
      <w:sz w:val="40"/>
      <w:szCs w:val="40"/>
    </w:rPr>
  </w:style>
  <w:style w:type="paragraph" w:styleId="681">
    <w:name w:val="Heading 2"/>
    <w:basedOn w:val="849"/>
    <w:next w:val="849"/>
    <w:link w:val="68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2">
    <w:name w:val="Heading 2 Char"/>
    <w:basedOn w:val="851"/>
    <w:link w:val="681"/>
    <w:uiPriority w:val="9"/>
    <w:rPr>
      <w:rFonts w:ascii="Arial" w:hAnsi="Arial" w:eastAsia="Arial" w:cs="Arial"/>
      <w:sz w:val="34"/>
    </w:rPr>
  </w:style>
  <w:style w:type="paragraph" w:styleId="683">
    <w:name w:val="Heading 3"/>
    <w:basedOn w:val="849"/>
    <w:next w:val="849"/>
    <w:link w:val="68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4">
    <w:name w:val="Heading 3 Char"/>
    <w:basedOn w:val="851"/>
    <w:link w:val="683"/>
    <w:uiPriority w:val="9"/>
    <w:rPr>
      <w:rFonts w:ascii="Arial" w:hAnsi="Arial" w:eastAsia="Arial" w:cs="Arial"/>
      <w:sz w:val="30"/>
      <w:szCs w:val="30"/>
    </w:rPr>
  </w:style>
  <w:style w:type="paragraph" w:styleId="685">
    <w:name w:val="Heading 4"/>
    <w:basedOn w:val="849"/>
    <w:next w:val="849"/>
    <w:link w:val="68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6">
    <w:name w:val="Heading 4 Char"/>
    <w:basedOn w:val="851"/>
    <w:link w:val="685"/>
    <w:uiPriority w:val="9"/>
    <w:rPr>
      <w:rFonts w:ascii="Arial" w:hAnsi="Arial" w:eastAsia="Arial" w:cs="Arial"/>
      <w:b/>
      <w:bCs/>
      <w:sz w:val="26"/>
      <w:szCs w:val="26"/>
    </w:rPr>
  </w:style>
  <w:style w:type="paragraph" w:styleId="687">
    <w:name w:val="Heading 5"/>
    <w:basedOn w:val="849"/>
    <w:next w:val="849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8">
    <w:name w:val="Heading 5 Char"/>
    <w:basedOn w:val="851"/>
    <w:link w:val="687"/>
    <w:uiPriority w:val="9"/>
    <w:rPr>
      <w:rFonts w:ascii="Arial" w:hAnsi="Arial" w:eastAsia="Arial" w:cs="Arial"/>
      <w:b/>
      <w:bCs/>
      <w:sz w:val="24"/>
      <w:szCs w:val="24"/>
    </w:rPr>
  </w:style>
  <w:style w:type="paragraph" w:styleId="689">
    <w:name w:val="Heading 6"/>
    <w:basedOn w:val="849"/>
    <w:next w:val="849"/>
    <w:link w:val="69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0">
    <w:name w:val="Heading 6 Char"/>
    <w:basedOn w:val="851"/>
    <w:link w:val="689"/>
    <w:uiPriority w:val="9"/>
    <w:rPr>
      <w:rFonts w:ascii="Arial" w:hAnsi="Arial" w:eastAsia="Arial" w:cs="Arial"/>
      <w:b/>
      <w:bCs/>
      <w:sz w:val="22"/>
      <w:szCs w:val="22"/>
    </w:rPr>
  </w:style>
  <w:style w:type="paragraph" w:styleId="691">
    <w:name w:val="Heading 7"/>
    <w:basedOn w:val="849"/>
    <w:next w:val="849"/>
    <w:link w:val="69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2">
    <w:name w:val="Heading 7 Char"/>
    <w:basedOn w:val="851"/>
    <w:link w:val="69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3">
    <w:name w:val="Heading 8"/>
    <w:basedOn w:val="849"/>
    <w:next w:val="849"/>
    <w:link w:val="69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4">
    <w:name w:val="Heading 8 Char"/>
    <w:basedOn w:val="851"/>
    <w:link w:val="693"/>
    <w:uiPriority w:val="9"/>
    <w:rPr>
      <w:rFonts w:ascii="Arial" w:hAnsi="Arial" w:eastAsia="Arial" w:cs="Arial"/>
      <w:i/>
      <w:iCs/>
      <w:sz w:val="22"/>
      <w:szCs w:val="22"/>
    </w:rPr>
  </w:style>
  <w:style w:type="paragraph" w:styleId="695">
    <w:name w:val="Heading 9"/>
    <w:basedOn w:val="849"/>
    <w:next w:val="849"/>
    <w:link w:val="69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6">
    <w:name w:val="Heading 9 Char"/>
    <w:basedOn w:val="851"/>
    <w:link w:val="695"/>
    <w:uiPriority w:val="9"/>
    <w:rPr>
      <w:rFonts w:ascii="Arial" w:hAnsi="Arial" w:eastAsia="Arial" w:cs="Arial"/>
      <w:i/>
      <w:iCs/>
      <w:sz w:val="21"/>
      <w:szCs w:val="21"/>
    </w:rPr>
  </w:style>
  <w:style w:type="paragraph" w:styleId="697">
    <w:name w:val="Title"/>
    <w:basedOn w:val="849"/>
    <w:next w:val="849"/>
    <w:link w:val="69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8">
    <w:name w:val="Title Char"/>
    <w:basedOn w:val="851"/>
    <w:link w:val="697"/>
    <w:uiPriority w:val="10"/>
    <w:rPr>
      <w:sz w:val="48"/>
      <w:szCs w:val="48"/>
    </w:rPr>
  </w:style>
  <w:style w:type="paragraph" w:styleId="699">
    <w:name w:val="Subtitle"/>
    <w:basedOn w:val="849"/>
    <w:next w:val="849"/>
    <w:link w:val="700"/>
    <w:uiPriority w:val="11"/>
    <w:qFormat/>
    <w:pPr>
      <w:spacing w:before="200" w:after="200"/>
    </w:pPr>
    <w:rPr>
      <w:sz w:val="24"/>
      <w:szCs w:val="24"/>
    </w:rPr>
  </w:style>
  <w:style w:type="character" w:styleId="700">
    <w:name w:val="Subtitle Char"/>
    <w:basedOn w:val="851"/>
    <w:link w:val="699"/>
    <w:uiPriority w:val="11"/>
    <w:rPr>
      <w:sz w:val="24"/>
      <w:szCs w:val="24"/>
    </w:rPr>
  </w:style>
  <w:style w:type="paragraph" w:styleId="701">
    <w:name w:val="Quote"/>
    <w:basedOn w:val="849"/>
    <w:next w:val="849"/>
    <w:link w:val="702"/>
    <w:uiPriority w:val="29"/>
    <w:qFormat/>
    <w:pPr>
      <w:ind w:left="720" w:right="720"/>
    </w:pPr>
    <w:rPr>
      <w:i/>
    </w:rPr>
  </w:style>
  <w:style w:type="character" w:styleId="702">
    <w:name w:val="Quote Char"/>
    <w:link w:val="701"/>
    <w:uiPriority w:val="29"/>
    <w:rPr>
      <w:i/>
    </w:rPr>
  </w:style>
  <w:style w:type="paragraph" w:styleId="703">
    <w:name w:val="Intense Quote"/>
    <w:basedOn w:val="849"/>
    <w:next w:val="849"/>
    <w:link w:val="70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4">
    <w:name w:val="Intense Quote Char"/>
    <w:link w:val="703"/>
    <w:uiPriority w:val="30"/>
    <w:rPr>
      <w:i/>
    </w:rPr>
  </w:style>
  <w:style w:type="character" w:styleId="705">
    <w:name w:val="Header Char"/>
    <w:basedOn w:val="851"/>
    <w:link w:val="866"/>
    <w:uiPriority w:val="99"/>
  </w:style>
  <w:style w:type="character" w:styleId="706">
    <w:name w:val="Footer Char"/>
    <w:basedOn w:val="851"/>
    <w:link w:val="864"/>
    <w:uiPriority w:val="99"/>
  </w:style>
  <w:style w:type="paragraph" w:styleId="707">
    <w:name w:val="Caption"/>
    <w:basedOn w:val="849"/>
    <w:next w:val="84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>
    <w:name w:val="Caption Char"/>
    <w:basedOn w:val="707"/>
    <w:link w:val="864"/>
    <w:uiPriority w:val="99"/>
  </w:style>
  <w:style w:type="table" w:styleId="709">
    <w:name w:val="Table Grid Light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>
    <w:name w:val="Plain Table 1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2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3">
    <w:name w:val="Plain Table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Plain Table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5">
    <w:name w:val="Grid Table 1 Light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4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7">
    <w:name w:val="Grid Table 4 - Accent 1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8">
    <w:name w:val="Grid Table 4 - Accent 2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9">
    <w:name w:val="Grid Table 4 - Accent 3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0">
    <w:name w:val="Grid Table 4 - Accent 4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1">
    <w:name w:val="Grid Table 4 - Accent 5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2">
    <w:name w:val="Grid Table 4 - Accent 6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3">
    <w:name w:val="Grid Table 5 Dark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4">
    <w:name w:val="Grid Table 5 Dark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47">
    <w:name w:val="Grid Table 5 Dark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50">
    <w:name w:val="Grid Table 6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1">
    <w:name w:val="Grid Table 6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2">
    <w:name w:val="Grid Table 6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3">
    <w:name w:val="Grid Table 6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4">
    <w:name w:val="Grid Table 6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5">
    <w:name w:val="Grid Table 6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6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7">
    <w:name w:val="Grid Table 7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2">
    <w:name w:val="List Table 2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3">
    <w:name w:val="List Table 2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4">
    <w:name w:val="List Table 2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5">
    <w:name w:val="List Table 2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6">
    <w:name w:val="List Table 2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7">
    <w:name w:val="List Table 2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8">
    <w:name w:val="List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5 Dark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6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0">
    <w:name w:val="List Table 6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1">
    <w:name w:val="List Table 6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2">
    <w:name w:val="List Table 6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3">
    <w:name w:val="List Table 6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4">
    <w:name w:val="List Table 6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5">
    <w:name w:val="List Table 6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6">
    <w:name w:val="List Table 7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7">
    <w:name w:val="List Table 7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08">
    <w:name w:val="List Table 7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09">
    <w:name w:val="List Table 7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10">
    <w:name w:val="List Table 7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11">
    <w:name w:val="List Table 7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12">
    <w:name w:val="List Table 7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13">
    <w:name w:val="Lined - Accent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4">
    <w:name w:val="Lined - Accent 1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5">
    <w:name w:val="Lined - Accent 2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6">
    <w:name w:val="Lined - Accent 3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7">
    <w:name w:val="Lined - Accent 4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8">
    <w:name w:val="Lined - Accent 5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9">
    <w:name w:val="Lined - Accent 6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0">
    <w:name w:val="Bordered &amp; Lined - Accent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1">
    <w:name w:val="Bordered &amp; Lined - Accent 1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22">
    <w:name w:val="Bordered &amp; Lined - Accent 2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3">
    <w:name w:val="Bordered &amp; Lined - Accent 3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4">
    <w:name w:val="Bordered &amp; Lined - Accent 4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5">
    <w:name w:val="Bordered &amp; Lined - Accent 5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6">
    <w:name w:val="Bordered &amp; Lined - Accent 6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7">
    <w:name w:val="Bordered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8">
    <w:name w:val="Bordered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9">
    <w:name w:val="Bordered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0">
    <w:name w:val="Bordered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1">
    <w:name w:val="Bordered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2">
    <w:name w:val="Bordered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3">
    <w:name w:val="Bordered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4">
    <w:name w:val="Footnote Text Char"/>
    <w:link w:val="860"/>
    <w:uiPriority w:val="99"/>
    <w:rPr>
      <w:sz w:val="18"/>
    </w:rPr>
  </w:style>
  <w:style w:type="paragraph" w:styleId="835">
    <w:name w:val="endnote text"/>
    <w:basedOn w:val="849"/>
    <w:link w:val="836"/>
    <w:uiPriority w:val="99"/>
    <w:semiHidden/>
    <w:unhideWhenUsed/>
    <w:pPr>
      <w:spacing w:after="0" w:line="240" w:lineRule="auto"/>
    </w:pPr>
    <w:rPr>
      <w:sz w:val="20"/>
    </w:rPr>
  </w:style>
  <w:style w:type="character" w:styleId="836">
    <w:name w:val="Endnote Text Char"/>
    <w:link w:val="835"/>
    <w:uiPriority w:val="99"/>
    <w:rPr>
      <w:sz w:val="20"/>
    </w:rPr>
  </w:style>
  <w:style w:type="character" w:styleId="837">
    <w:name w:val="endnote reference"/>
    <w:basedOn w:val="851"/>
    <w:uiPriority w:val="99"/>
    <w:semiHidden/>
    <w:unhideWhenUsed/>
    <w:rPr>
      <w:vertAlign w:val="superscript"/>
    </w:rPr>
  </w:style>
  <w:style w:type="paragraph" w:styleId="838">
    <w:name w:val="toc 1"/>
    <w:basedOn w:val="849"/>
    <w:next w:val="849"/>
    <w:uiPriority w:val="39"/>
    <w:unhideWhenUsed/>
    <w:pPr>
      <w:ind w:left="0" w:right="0" w:firstLine="0"/>
      <w:spacing w:after="57"/>
    </w:pPr>
  </w:style>
  <w:style w:type="paragraph" w:styleId="839">
    <w:name w:val="toc 2"/>
    <w:basedOn w:val="849"/>
    <w:next w:val="849"/>
    <w:uiPriority w:val="39"/>
    <w:unhideWhenUsed/>
    <w:pPr>
      <w:ind w:left="283" w:right="0" w:firstLine="0"/>
      <w:spacing w:after="57"/>
    </w:pPr>
  </w:style>
  <w:style w:type="paragraph" w:styleId="840">
    <w:name w:val="toc 3"/>
    <w:basedOn w:val="849"/>
    <w:next w:val="849"/>
    <w:uiPriority w:val="39"/>
    <w:unhideWhenUsed/>
    <w:pPr>
      <w:ind w:left="567" w:right="0" w:firstLine="0"/>
      <w:spacing w:after="57"/>
    </w:pPr>
  </w:style>
  <w:style w:type="paragraph" w:styleId="841">
    <w:name w:val="toc 4"/>
    <w:basedOn w:val="849"/>
    <w:next w:val="849"/>
    <w:uiPriority w:val="39"/>
    <w:unhideWhenUsed/>
    <w:pPr>
      <w:ind w:left="850" w:right="0" w:firstLine="0"/>
      <w:spacing w:after="57"/>
    </w:pPr>
  </w:style>
  <w:style w:type="paragraph" w:styleId="842">
    <w:name w:val="toc 5"/>
    <w:basedOn w:val="849"/>
    <w:next w:val="849"/>
    <w:uiPriority w:val="39"/>
    <w:unhideWhenUsed/>
    <w:pPr>
      <w:ind w:left="1134" w:right="0" w:firstLine="0"/>
      <w:spacing w:after="57"/>
    </w:pPr>
  </w:style>
  <w:style w:type="paragraph" w:styleId="843">
    <w:name w:val="toc 6"/>
    <w:basedOn w:val="849"/>
    <w:next w:val="849"/>
    <w:uiPriority w:val="39"/>
    <w:unhideWhenUsed/>
    <w:pPr>
      <w:ind w:left="1417" w:right="0" w:firstLine="0"/>
      <w:spacing w:after="57"/>
    </w:pPr>
  </w:style>
  <w:style w:type="paragraph" w:styleId="844">
    <w:name w:val="toc 7"/>
    <w:basedOn w:val="849"/>
    <w:next w:val="849"/>
    <w:uiPriority w:val="39"/>
    <w:unhideWhenUsed/>
    <w:pPr>
      <w:ind w:left="1701" w:right="0" w:firstLine="0"/>
      <w:spacing w:after="57"/>
    </w:pPr>
  </w:style>
  <w:style w:type="paragraph" w:styleId="845">
    <w:name w:val="toc 8"/>
    <w:basedOn w:val="849"/>
    <w:next w:val="849"/>
    <w:uiPriority w:val="39"/>
    <w:unhideWhenUsed/>
    <w:pPr>
      <w:ind w:left="1984" w:right="0" w:firstLine="0"/>
      <w:spacing w:after="57"/>
    </w:pPr>
  </w:style>
  <w:style w:type="paragraph" w:styleId="846">
    <w:name w:val="toc 9"/>
    <w:basedOn w:val="849"/>
    <w:next w:val="849"/>
    <w:uiPriority w:val="39"/>
    <w:unhideWhenUsed/>
    <w:pPr>
      <w:ind w:left="2268" w:right="0" w:firstLine="0"/>
      <w:spacing w:after="57"/>
    </w:pPr>
  </w:style>
  <w:style w:type="paragraph" w:styleId="847">
    <w:name w:val="TOC Heading"/>
    <w:uiPriority w:val="39"/>
    <w:unhideWhenUsed/>
  </w:style>
  <w:style w:type="paragraph" w:styleId="848">
    <w:name w:val="table of figures"/>
    <w:basedOn w:val="849"/>
    <w:next w:val="849"/>
    <w:uiPriority w:val="99"/>
    <w:unhideWhenUsed/>
    <w:pPr>
      <w:spacing w:after="0" w:afterAutospacing="0"/>
    </w:pPr>
  </w:style>
  <w:style w:type="paragraph" w:styleId="849" w:default="1">
    <w:name w:val="Normal"/>
    <w:qFormat/>
    <w:rPr>
      <w:sz w:val="24"/>
    </w:rPr>
  </w:style>
  <w:style w:type="paragraph" w:styleId="850">
    <w:name w:val="Heading 1"/>
    <w:basedOn w:val="849"/>
    <w:next w:val="849"/>
    <w:link w:val="877"/>
    <w:uiPriority w:val="9"/>
    <w:qFormat/>
    <w:pPr>
      <w:jc w:val="center"/>
      <w:keepNext/>
      <w:outlineLvl w:val="0"/>
    </w:pPr>
    <w:rPr>
      <w:b/>
      <w:szCs w:val="24"/>
    </w:rPr>
  </w:style>
  <w:style w:type="character" w:styleId="851" w:default="1">
    <w:name w:val="Default Paragraph Font"/>
    <w:uiPriority w:val="1"/>
    <w:semiHidden/>
    <w:unhideWhenUsed/>
  </w:style>
  <w:style w:type="table" w:styleId="8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3" w:default="1">
    <w:name w:val="No List"/>
    <w:uiPriority w:val="99"/>
    <w:semiHidden/>
    <w:unhideWhenUsed/>
  </w:style>
  <w:style w:type="paragraph" w:styleId="854" w:customStyle="1">
    <w:name w:val="ConsTitle"/>
    <w:rPr>
      <w:rFonts w:ascii="Arial" w:hAnsi="Arial" w:cs="Arial"/>
      <w:b/>
      <w:bCs/>
      <w:sz w:val="16"/>
      <w:szCs w:val="16"/>
    </w:rPr>
  </w:style>
  <w:style w:type="paragraph" w:styleId="855" w:customStyle="1">
    <w:name w:val="ConsNonformat"/>
    <w:rPr>
      <w:rFonts w:ascii="Courier New" w:hAnsi="Courier New" w:cs="Courier New"/>
    </w:rPr>
  </w:style>
  <w:style w:type="paragraph" w:styleId="856" w:customStyle="1">
    <w:name w:val="ConsNormal"/>
    <w:link w:val="868"/>
    <w:pPr>
      <w:ind w:firstLine="720"/>
    </w:pPr>
    <w:rPr>
      <w:rFonts w:ascii="Arial" w:hAnsi="Arial" w:cs="Arial"/>
      <w:sz w:val="24"/>
      <w:szCs w:val="24"/>
    </w:rPr>
  </w:style>
  <w:style w:type="paragraph" w:styleId="857" w:customStyle="1">
    <w:name w:val="ConsCell"/>
    <w:rPr>
      <w:rFonts w:ascii="Arial" w:hAnsi="Arial" w:cs="Arial"/>
      <w:sz w:val="24"/>
      <w:szCs w:val="24"/>
    </w:rPr>
  </w:style>
  <w:style w:type="paragraph" w:styleId="858">
    <w:name w:val="Body Text Indent"/>
    <w:basedOn w:val="849"/>
    <w:semiHidden/>
    <w:pPr>
      <w:ind w:firstLine="720"/>
      <w:jc w:val="both"/>
    </w:pPr>
    <w:rPr>
      <w:sz w:val="28"/>
    </w:rPr>
  </w:style>
  <w:style w:type="paragraph" w:styleId="859">
    <w:name w:val="Body Text"/>
    <w:basedOn w:val="849"/>
    <w:semiHidden/>
    <w:pPr>
      <w:jc w:val="both"/>
    </w:pPr>
    <w:rPr>
      <w:szCs w:val="24"/>
    </w:rPr>
  </w:style>
  <w:style w:type="paragraph" w:styleId="860">
    <w:name w:val="footnote text"/>
    <w:basedOn w:val="849"/>
    <w:link w:val="872"/>
    <w:uiPriority w:val="99"/>
    <w:rPr>
      <w:sz w:val="20"/>
    </w:rPr>
  </w:style>
  <w:style w:type="character" w:styleId="861">
    <w:name w:val="footnote reference"/>
    <w:semiHidden/>
    <w:rPr>
      <w:vertAlign w:val="superscript"/>
    </w:rPr>
  </w:style>
  <w:style w:type="character" w:styleId="862">
    <w:name w:val="annotation reference"/>
    <w:semiHidden/>
    <w:rPr>
      <w:sz w:val="16"/>
      <w:szCs w:val="16"/>
    </w:rPr>
  </w:style>
  <w:style w:type="paragraph" w:styleId="863">
    <w:name w:val="annotation text"/>
    <w:basedOn w:val="849"/>
    <w:semiHidden/>
    <w:rPr>
      <w:sz w:val="20"/>
    </w:rPr>
  </w:style>
  <w:style w:type="paragraph" w:styleId="864">
    <w:name w:val="Footer"/>
    <w:basedOn w:val="849"/>
    <w:link w:val="876"/>
    <w:uiPriority w:val="99"/>
    <w:pPr>
      <w:tabs>
        <w:tab w:val="center" w:pos="4677" w:leader="none"/>
        <w:tab w:val="right" w:pos="9355" w:leader="none"/>
      </w:tabs>
    </w:pPr>
  </w:style>
  <w:style w:type="character" w:styleId="865">
    <w:name w:val="page number"/>
    <w:basedOn w:val="851"/>
    <w:semiHidden/>
  </w:style>
  <w:style w:type="paragraph" w:styleId="866">
    <w:name w:val="Header"/>
    <w:basedOn w:val="849"/>
    <w:semiHidden/>
    <w:pPr>
      <w:tabs>
        <w:tab w:val="center" w:pos="4677" w:leader="none"/>
        <w:tab w:val="right" w:pos="9355" w:leader="none"/>
      </w:tabs>
    </w:pPr>
  </w:style>
  <w:style w:type="paragraph" w:styleId="867">
    <w:name w:val="Balloon Text"/>
    <w:basedOn w:val="849"/>
    <w:semiHidden/>
    <w:rPr>
      <w:rFonts w:ascii="Tahoma" w:hAnsi="Tahoma" w:cs="Tahoma"/>
      <w:sz w:val="16"/>
      <w:szCs w:val="16"/>
    </w:rPr>
  </w:style>
  <w:style w:type="character" w:styleId="868" w:customStyle="1">
    <w:name w:val="ConsNormal Знак"/>
    <w:link w:val="856"/>
    <w:rPr>
      <w:rFonts w:ascii="Arial" w:hAnsi="Arial" w:cs="Arial"/>
      <w:sz w:val="24"/>
      <w:szCs w:val="24"/>
    </w:rPr>
  </w:style>
  <w:style w:type="paragraph" w:styleId="869">
    <w:name w:val="Normal (Web)"/>
    <w:basedOn w:val="849"/>
    <w:uiPriority w:val="99"/>
    <w:semiHidden/>
    <w:unhideWhenUsed/>
    <w:pPr>
      <w:spacing w:before="100" w:beforeAutospacing="1" w:after="100" w:afterAutospacing="1"/>
    </w:pPr>
    <w:rPr>
      <w:szCs w:val="24"/>
    </w:rPr>
  </w:style>
  <w:style w:type="paragraph" w:styleId="870" w:customStyle="1">
    <w:name w:val="Пункт_1"/>
    <w:basedOn w:val="849"/>
    <w:pPr>
      <w:numPr>
        <w:ilvl w:val="0"/>
        <w:numId w:val="2"/>
      </w:numPr>
      <w:jc w:val="both"/>
      <w:keepNext/>
      <w:spacing w:line="360" w:lineRule="auto"/>
      <w:widowControl w:val="off"/>
    </w:pPr>
    <w:rPr>
      <w:b/>
      <w:bCs/>
      <w:sz w:val="28"/>
      <w:szCs w:val="28"/>
    </w:rPr>
  </w:style>
  <w:style w:type="paragraph" w:styleId="871" w:customStyle="1">
    <w:name w:val="Пункт_2"/>
    <w:basedOn w:val="849"/>
    <w:pPr>
      <w:numPr>
        <w:ilvl w:val="1"/>
        <w:numId w:val="2"/>
      </w:numPr>
      <w:jc w:val="both"/>
      <w:spacing w:line="360" w:lineRule="auto"/>
      <w:widowControl w:val="off"/>
    </w:pPr>
    <w:rPr>
      <w:sz w:val="28"/>
      <w:szCs w:val="28"/>
    </w:rPr>
  </w:style>
  <w:style w:type="character" w:styleId="872" w:customStyle="1">
    <w:name w:val="Текст сноски Знак"/>
    <w:link w:val="860"/>
    <w:uiPriority w:val="99"/>
  </w:style>
  <w:style w:type="paragraph" w:styleId="873" w:customStyle="1">
    <w:name w:val="Таблица текст"/>
    <w:basedOn w:val="849"/>
    <w:pPr>
      <w:ind w:left="57" w:right="57"/>
      <w:spacing w:before="40" w:after="40"/>
    </w:pPr>
  </w:style>
  <w:style w:type="paragraph" w:styleId="874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table" w:styleId="875">
    <w:name w:val="Table Grid"/>
    <w:basedOn w:val="85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76" w:customStyle="1">
    <w:name w:val="Нижний колонтитул Знак"/>
    <w:link w:val="864"/>
    <w:uiPriority w:val="99"/>
    <w:rPr>
      <w:sz w:val="24"/>
    </w:rPr>
  </w:style>
  <w:style w:type="character" w:styleId="877" w:customStyle="1">
    <w:name w:val="Заголовок 1 Знак"/>
    <w:basedOn w:val="851"/>
    <w:link w:val="850"/>
    <w:uiPriority w:val="9"/>
    <w:rPr>
      <w:b/>
      <w:sz w:val="24"/>
      <w:szCs w:val="24"/>
    </w:rPr>
  </w:style>
  <w:style w:type="paragraph" w:styleId="878" w:customStyle="1">
    <w:name w:val="Default"/>
    <w:rPr>
      <w:color w:val="000000"/>
      <w:sz w:val="24"/>
      <w:szCs w:val="24"/>
    </w:rPr>
  </w:style>
  <w:style w:type="paragraph" w:styleId="879">
    <w:name w:val="List Paragraph"/>
    <w:basedOn w:val="849"/>
    <w:uiPriority w:val="34"/>
    <w:qFormat/>
    <w:pPr>
      <w:contextualSpacing/>
      <w:ind w:left="720"/>
    </w:pPr>
  </w:style>
  <w:style w:type="paragraph" w:styleId="880" w:customStyle="1">
    <w:name w:val="Знак Знак Знак2 Знак1"/>
    <w:basedOn w:val="84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881">
    <w:name w:val="Hyperlink"/>
    <w:rPr>
      <w:color w:val="0066cc"/>
      <w:u w:val="single"/>
    </w:rPr>
  </w:style>
  <w:style w:type="character" w:styleId="882" w:customStyle="1">
    <w:name w:val="Сноска (2)_"/>
    <w:link w:val="883"/>
    <w:rPr>
      <w:shd w:val="clear" w:color="auto" w:fill="ffffff"/>
    </w:rPr>
  </w:style>
  <w:style w:type="paragraph" w:styleId="883" w:customStyle="1">
    <w:name w:val="Сноска (2)"/>
    <w:basedOn w:val="849"/>
    <w:link w:val="882"/>
    <w:pPr>
      <w:spacing w:before="300" w:after="480" w:line="0" w:lineRule="atLeast"/>
      <w:shd w:val="clear" w:color="auto" w:fill="ffffff"/>
    </w:pPr>
    <w:rPr>
      <w:sz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ld@rushydro.ru" TargetMode="External"/><Relationship Id="rId11" Type="http://schemas.openxmlformats.org/officeDocument/2006/relationships/hyperlink" Target="consultantplus://offline/ref=94D5CE8889791A29DE57299515463A9D6134D8237B999C803E6F853513x2A2P" TargetMode="External"/><Relationship Id="rId12" Type="http://schemas.openxmlformats.org/officeDocument/2006/relationships/hyperlink" Target="consultantplus://offline/ref=94D5CE8889791A29DE57299515463A9D6135D2287D929C803E6F853513x2A2P" TargetMode="External"/><Relationship Id="rId13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ED091-0148-4D11-A861-C8C399E54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Хабаровскэрго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ПОСТАВКИ</dc:title>
  <dc:subject/>
  <dc:creator>Глухих Павел Александрович</dc:creator>
  <cp:keywords/>
  <cp:revision>127</cp:revision>
  <dcterms:created xsi:type="dcterms:W3CDTF">2021-06-24T23:18:00Z</dcterms:created>
  <dcterms:modified xsi:type="dcterms:W3CDTF">2026-04-28T01:13:08Z</dcterms:modified>
</cp:coreProperties>
</file>